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新余学院</w:t>
      </w:r>
      <w:r>
        <w:rPr>
          <w:rFonts w:ascii="宋体" w:hAnsi="宋体" w:eastAsia="宋体"/>
          <w:b/>
          <w:bCs/>
          <w:sz w:val="44"/>
          <w:szCs w:val="44"/>
        </w:rPr>
        <w:t>2023年</w:t>
      </w:r>
      <w:r>
        <w:rPr>
          <w:rFonts w:hint="eastAsia" w:ascii="宋体" w:hAnsi="宋体" w:eastAsia="宋体"/>
          <w:b/>
          <w:bCs/>
          <w:sz w:val="44"/>
          <w:szCs w:val="44"/>
          <w:lang w:val="en-US" w:eastAsia="zh-CN"/>
        </w:rPr>
        <w:t>单位</w:t>
      </w:r>
      <w:r>
        <w:rPr>
          <w:rFonts w:ascii="宋体" w:hAnsi="宋体" w:eastAsia="宋体"/>
          <w:b/>
          <w:bCs/>
          <w:sz w:val="44"/>
          <w:szCs w:val="44"/>
        </w:rPr>
        <w:t>预算</w:t>
      </w:r>
    </w:p>
    <w:p>
      <w:pPr>
        <w:rPr>
          <w:rFonts w:hint="eastAsia" w:ascii="宋体" w:hAnsi="宋体" w:eastAsia="宋体"/>
          <w:sz w:val="28"/>
          <w:szCs w:val="28"/>
        </w:rPr>
      </w:pPr>
    </w:p>
    <w:p>
      <w:pPr>
        <w:ind w:firstLine="3534" w:firstLineChars="1100"/>
        <w:jc w:val="both"/>
        <w:rPr>
          <w:rFonts w:hint="eastAsia" w:ascii="仿宋" w:hAnsi="仿宋" w:eastAsia="仿宋" w:cs="仿宋"/>
          <w:b/>
          <w:bCs/>
          <w:sz w:val="32"/>
          <w:szCs w:val="32"/>
        </w:rPr>
      </w:pPr>
      <w:r>
        <w:rPr>
          <w:rFonts w:hint="eastAsia" w:ascii="仿宋" w:hAnsi="仿宋" w:eastAsia="仿宋" w:cs="仿宋"/>
          <w:b/>
          <w:bCs/>
          <w:sz w:val="32"/>
          <w:szCs w:val="32"/>
        </w:rPr>
        <w:t>目    录</w:t>
      </w:r>
    </w:p>
    <w:p>
      <w:pPr>
        <w:bidi w:val="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第一部分  新余学院概况</w:t>
      </w:r>
    </w:p>
    <w:p>
      <w:pPr>
        <w:rPr>
          <w:rFonts w:hint="eastAsia" w:ascii="仿宋" w:hAnsi="仿宋" w:eastAsia="仿宋" w:cs="仿宋"/>
          <w:sz w:val="32"/>
          <w:szCs w:val="32"/>
        </w:rPr>
      </w:pPr>
      <w:r>
        <w:rPr>
          <w:rFonts w:hint="eastAsia" w:ascii="仿宋" w:hAnsi="仿宋" w:eastAsia="仿宋" w:cs="仿宋"/>
          <w:sz w:val="32"/>
          <w:szCs w:val="32"/>
        </w:rPr>
        <w:t xml:space="preserve">    一、部门主要职责</w:t>
      </w:r>
    </w:p>
    <w:p>
      <w:pPr>
        <w:rPr>
          <w:rFonts w:hint="eastAsia" w:ascii="仿宋" w:hAnsi="仿宋" w:eastAsia="仿宋" w:cs="仿宋"/>
          <w:sz w:val="32"/>
          <w:szCs w:val="32"/>
        </w:rPr>
      </w:pPr>
      <w:r>
        <w:rPr>
          <w:rFonts w:hint="eastAsia" w:ascii="仿宋" w:hAnsi="仿宋" w:eastAsia="仿宋" w:cs="仿宋"/>
          <w:sz w:val="32"/>
          <w:szCs w:val="32"/>
        </w:rPr>
        <w:t xml:space="preserve">    二、机构设置及人员情况</w:t>
      </w:r>
    </w:p>
    <w:p>
      <w:pPr>
        <w:rPr>
          <w:rFonts w:hint="eastAsia" w:ascii="仿宋" w:hAnsi="仿宋" w:eastAsia="仿宋" w:cs="仿宋"/>
          <w:sz w:val="32"/>
          <w:szCs w:val="32"/>
        </w:rPr>
      </w:pPr>
      <w:r>
        <w:rPr>
          <w:rFonts w:hint="eastAsia" w:ascii="仿宋" w:hAnsi="仿宋" w:eastAsia="仿宋" w:cs="仿宋"/>
          <w:b/>
          <w:bCs/>
          <w:sz w:val="32"/>
          <w:szCs w:val="32"/>
        </w:rPr>
        <w:t>第二部分  新余学院2023年部门预算表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一、《收支预算总表》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二、《部门收入总表》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三、《部门支出总表》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四、《财政拨款收支总表》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六、《一般公共预算基本支出表》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七、《一般公共预算“三公”经费支出表》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九、《国有资本经营预算支出表》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十、《重点项目绩效目标表》</w:t>
      </w:r>
    </w:p>
    <w:p>
      <w:pPr>
        <w:rPr>
          <w:rFonts w:hint="eastAsia" w:ascii="仿宋" w:hAnsi="仿宋" w:eastAsia="仿宋" w:cs="仿宋"/>
          <w:b/>
          <w:bCs/>
          <w:sz w:val="32"/>
          <w:szCs w:val="32"/>
        </w:rPr>
      </w:pPr>
      <w:r>
        <w:rPr>
          <w:rFonts w:hint="eastAsia" w:ascii="仿宋" w:hAnsi="仿宋" w:eastAsia="仿宋" w:cs="仿宋"/>
          <w:b/>
          <w:bCs/>
          <w:sz w:val="32"/>
          <w:szCs w:val="32"/>
        </w:rPr>
        <w:t>第三部分  新余学院2023年部门预算情况说明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一、2023年部门预算收支情况说明</w:t>
      </w:r>
    </w:p>
    <w:p>
      <w:pPr>
        <w:rPr>
          <w:rFonts w:hint="eastAsia" w:ascii="仿宋" w:hAnsi="仿宋" w:eastAsia="仿宋" w:cs="仿宋"/>
          <w:sz w:val="32"/>
          <w:szCs w:val="32"/>
        </w:rPr>
      </w:pPr>
      <w:r>
        <w:rPr>
          <w:rFonts w:hint="eastAsia" w:ascii="仿宋" w:hAnsi="仿宋" w:eastAsia="仿宋" w:cs="仿宋"/>
          <w:sz w:val="32"/>
          <w:szCs w:val="32"/>
        </w:rPr>
        <w:t xml:space="preserve">    二、2023年“三公”经费预算情况说明</w:t>
      </w:r>
    </w:p>
    <w:p>
      <w:pPr>
        <w:rPr>
          <w:rFonts w:hint="eastAsia" w:ascii="仿宋" w:hAnsi="仿宋" w:eastAsia="仿宋" w:cs="仿宋"/>
          <w:b/>
          <w:bCs/>
          <w:sz w:val="32"/>
          <w:szCs w:val="32"/>
        </w:rPr>
      </w:pPr>
      <w:r>
        <w:rPr>
          <w:rFonts w:hint="eastAsia" w:ascii="仿宋" w:hAnsi="仿宋" w:eastAsia="仿宋" w:cs="仿宋"/>
          <w:b/>
          <w:bCs/>
          <w:sz w:val="32"/>
          <w:szCs w:val="32"/>
        </w:rPr>
        <w:t>第四部分  名词解释</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第一部分  新余学院概况</w:t>
      </w:r>
    </w:p>
    <w:p>
      <w:pPr>
        <w:rPr>
          <w:rFonts w:hint="eastAsia"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一、部门主要职责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新余学院是经教育部批准设置，面向全国招生的全日制公办普通本科院校。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学校设有13个教学院，40个本科专业涵盖工学、文学、理学、医学、教育学、管理学、艺术学、经济学八大学科门类。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校园占地133公顷，建筑面积45万平方米，教学科研仪器设备总值2.7亿元，图书馆藏书168万册，电子图书138万册。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学校在职教职工813人（其中高级职称教师254人， “双师型”教师293人；具有硕士或博士学位教师552人），在校生15000余人。办学38年来，累计培养了7万余名毕业生。</w:t>
      </w:r>
    </w:p>
    <w:p>
      <w:pPr>
        <w:ind w:firstLine="640" w:firstLineChars="20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于2018年通过教育部本科教学工作合格评估，获批教育部新工科、新文科研究与实践项目2项；现有国家级一流本科课程1门、省级一流专业4个和省级一流课程24门、省级高水平教学团队4个；在第二轮全省专业综合评价中，新能源科学与工程专业排名全省第一并获批为四星专业。</w:t>
      </w:r>
    </w:p>
    <w:p>
      <w:pPr>
        <w:ind w:firstLine="640" w:firstLineChars="20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下设一所附属小学（新余市逸夫小学），新余市逸夫小学是行政隶属于新余学院，业务由新余市教育局管理，财政单列的六年制小学义务教育实施单位，本着“科学管理、科研兴校、特色立校、质量强校”的理念，办学品位日臻提升，博得社会各界的认可和亲睐。经过二十余年的不懈努力，学校规模不断扩大。</w:t>
      </w:r>
    </w:p>
    <w:p>
      <w:pPr>
        <w:rPr>
          <w:rFonts w:hint="eastAsia"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二、机构设置及人员情况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default" w:ascii="仿宋_GB2312" w:hAnsi="仿宋_GB2312" w:eastAsia="仿宋_GB2312" w:cs="Times New Roman"/>
          <w:color w:val="auto"/>
          <w:kern w:val="2"/>
          <w:sz w:val="32"/>
          <w:szCs w:val="32"/>
          <w:lang w:val="en-US" w:eastAsia="zh-CN"/>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新余学院</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处室</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二级学院13个</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党委办公室、党委组织部、党委宣传部、党委教师工作部、教务处、科学研究处、新能源科学与工程学院、机电工程学院、数学与计算机学院、建筑工程学院、信息工程学院、文学与传媒学院、外国语学院、经济管理学院、公共卫生与健康学院等</w:t>
      </w:r>
      <w:r>
        <w:rPr>
          <w:rFonts w:hint="eastAsia" w:ascii="仿宋_GB2312" w:hAnsi="仿宋_GB2312" w:eastAsia="仿宋_GB2312" w:cs="Times New Roman"/>
          <w:color w:val="auto"/>
          <w:kern w:val="2"/>
          <w:sz w:val="32"/>
          <w:szCs w:val="32"/>
          <w:lang w:val="en-US" w:eastAsia="zh-CN"/>
        </w:rPr>
        <w:t>。</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纳入新余学院本级2023年部门编制人数670人；实有人数800人，其中在职人数633人、退休人数167人；在校学生人数15080人；享受遗属人员补贴4人。</w:t>
      </w:r>
    </w:p>
    <w:p>
      <w:pPr>
        <w:jc w:val="center"/>
        <w:rPr>
          <w:rFonts w:hint="eastAsia" w:ascii="仿宋" w:hAnsi="仿宋" w:eastAsia="仿宋" w:cs="仿宋"/>
          <w:b/>
          <w:bCs/>
          <w:sz w:val="32"/>
          <w:szCs w:val="32"/>
        </w:rPr>
      </w:pPr>
      <w:r>
        <w:rPr>
          <w:rFonts w:hint="eastAsia" w:ascii="仿宋" w:hAnsi="仿宋" w:eastAsia="仿宋" w:cs="仿宋"/>
          <w:sz w:val="32"/>
          <w:szCs w:val="32"/>
        </w:rPr>
        <w:t>第</w:t>
      </w:r>
      <w:r>
        <w:rPr>
          <w:rFonts w:hint="eastAsia" w:ascii="仿宋" w:hAnsi="仿宋" w:eastAsia="仿宋" w:cs="仿宋"/>
          <w:b/>
          <w:bCs/>
          <w:sz w:val="32"/>
          <w:szCs w:val="32"/>
        </w:rPr>
        <w:t>二部分  新余学院2023年部门预算表</w:t>
      </w:r>
    </w:p>
    <w:p>
      <w:pPr>
        <w:jc w:val="center"/>
        <w:rPr>
          <w:rFonts w:hint="eastAsia" w:ascii="仿宋" w:hAnsi="仿宋" w:eastAsia="仿宋" w:cs="仿宋"/>
          <w:b/>
          <w:bCs/>
          <w:sz w:val="32"/>
          <w:szCs w:val="32"/>
        </w:rPr>
      </w:pPr>
      <w:r>
        <w:rPr>
          <w:rFonts w:hint="eastAsia" w:ascii="仿宋" w:hAnsi="仿宋" w:eastAsia="仿宋" w:cs="仿宋"/>
          <w:b/>
          <w:bCs/>
          <w:sz w:val="32"/>
          <w:szCs w:val="32"/>
        </w:rPr>
        <w:t>（详见附表）</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第三部分  新余学院2023年部门预算情况说明</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一、2023年部门预算收支情况说明</w:t>
      </w:r>
    </w:p>
    <w:p>
      <w:pPr>
        <w:rPr>
          <w:rFonts w:hint="eastAsia" w:ascii="仿宋" w:hAnsi="仿宋" w:eastAsia="仿宋" w:cs="仿宋"/>
          <w:b/>
          <w:bCs/>
          <w:sz w:val="32"/>
          <w:szCs w:val="32"/>
        </w:rPr>
      </w:pPr>
      <w:r>
        <w:rPr>
          <w:rFonts w:hint="eastAsia" w:ascii="仿宋" w:hAnsi="仿宋" w:eastAsia="仿宋" w:cs="仿宋"/>
          <w:b/>
          <w:bCs/>
          <w:sz w:val="32"/>
          <w:szCs w:val="32"/>
        </w:rPr>
        <w:t>（一）收入预算情况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2023年，新余学院本级经费收入预算19225.16万元。其中:一般公共预算拨款收入9425.16万元，较上年增加6095.21万元，增幅183.04%；教育收费资金收入9800万元，较上年增加800万元，增幅8.89%。</w:t>
      </w:r>
    </w:p>
    <w:p>
      <w:pPr>
        <w:rPr>
          <w:rFonts w:hint="eastAsia" w:ascii="仿宋" w:hAnsi="仿宋" w:eastAsia="仿宋" w:cs="仿宋"/>
          <w:b/>
          <w:bCs/>
          <w:sz w:val="32"/>
          <w:szCs w:val="32"/>
        </w:rPr>
      </w:pPr>
      <w:r>
        <w:rPr>
          <w:rFonts w:hint="eastAsia" w:ascii="仿宋" w:hAnsi="仿宋" w:eastAsia="仿宋" w:cs="仿宋"/>
          <w:b/>
          <w:bCs/>
          <w:sz w:val="32"/>
          <w:szCs w:val="32"/>
        </w:rPr>
        <w:t>（二）支出预算情况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2023年，新余学院本级经费</w:t>
      </w:r>
      <w:r>
        <w:rPr>
          <w:rFonts w:hint="eastAsia" w:ascii="仿宋" w:hAnsi="仿宋" w:eastAsia="仿宋" w:cs="仿宋"/>
          <w:sz w:val="32"/>
          <w:szCs w:val="32"/>
          <w:lang w:val="en-US" w:eastAsia="zh-CN"/>
        </w:rPr>
        <w:t>支出</w:t>
      </w:r>
      <w:r>
        <w:rPr>
          <w:rFonts w:hint="eastAsia" w:ascii="仿宋" w:hAnsi="仿宋" w:eastAsia="仿宋" w:cs="仿宋"/>
          <w:sz w:val="32"/>
          <w:szCs w:val="32"/>
        </w:rPr>
        <w:t>预算19225.16万元。其中:一般公共预算拨款收入9425.16万元，较上年增加6095.21万元，增幅183.04%；教育收费资金收入9800万元，较上年增加800万元，增幅8.89%。</w:t>
      </w:r>
    </w:p>
    <w:p>
      <w:pPr>
        <w:ind w:firstLine="640" w:firstLineChars="200"/>
        <w:rPr>
          <w:rStyle w:val="10"/>
          <w:rFonts w:hint="eastAsia" w:ascii="仿宋_GB2312" w:hAnsi="仿宋_GB2312" w:eastAsia="仿宋_GB2312" w:cs="仿宋_GB2312"/>
          <w:sz w:val="32"/>
          <w:szCs w:val="32"/>
          <w:u w:val="none"/>
        </w:rPr>
      </w:pPr>
      <w:r>
        <w:rPr>
          <w:rStyle w:val="10"/>
          <w:rFonts w:hint="eastAsia" w:ascii="仿宋_GB2312" w:hAnsi="仿宋_GB2312" w:eastAsia="仿宋_GB2312" w:cs="仿宋_GB2312"/>
          <w:sz w:val="32"/>
          <w:szCs w:val="32"/>
        </w:rPr>
        <w:t>按支出</w:t>
      </w:r>
      <w:r>
        <w:rPr>
          <w:rStyle w:val="10"/>
          <w:rFonts w:hint="eastAsia" w:ascii="仿宋_GB2312" w:hAnsi="仿宋_GB2312" w:eastAsia="仿宋_GB2312" w:cs="仿宋_GB2312"/>
          <w:sz w:val="32"/>
          <w:szCs w:val="32"/>
          <w:lang w:val="en-US" w:eastAsia="zh-CN"/>
        </w:rPr>
        <w:t>功能科目</w:t>
      </w:r>
      <w:r>
        <w:rPr>
          <w:rStyle w:val="10"/>
          <w:rFonts w:hint="eastAsia" w:ascii="仿宋_GB2312" w:hAnsi="仿宋_GB2312" w:eastAsia="仿宋_GB2312" w:cs="仿宋_GB2312"/>
          <w:sz w:val="32"/>
          <w:szCs w:val="32"/>
        </w:rPr>
        <w:t>划分：</w:t>
      </w:r>
      <w:r>
        <w:rPr>
          <w:rStyle w:val="10"/>
          <w:rFonts w:hint="eastAsia" w:ascii="仿宋_GB2312" w:hAnsi="仿宋_GB2312" w:eastAsia="仿宋_GB2312" w:cs="仿宋_GB2312"/>
          <w:sz w:val="32"/>
          <w:szCs w:val="32"/>
          <w:u w:val="none"/>
        </w:rPr>
        <w:fldChar w:fldCharType="begin"/>
      </w:r>
      <w:r>
        <w:rPr>
          <w:rStyle w:val="10"/>
          <w:rFonts w:hint="eastAsia" w:ascii="仿宋_GB2312" w:hAnsi="仿宋_GB2312" w:eastAsia="仿宋_GB2312" w:cs="仿宋_GB2312"/>
          <w:sz w:val="32"/>
          <w:szCs w:val="32"/>
          <w:u w:val="none"/>
        </w:rPr>
        <w:instrText xml:space="preserve">MERGEFIELD ${page400644146.ds215660413_REP_BGT_T_HC1100002019_DXQ02_JBZCQK}</w:instrText>
      </w:r>
      <w:r>
        <w:rPr>
          <w:rStyle w:val="10"/>
          <w:rFonts w:hint="eastAsia" w:ascii="仿宋_GB2312" w:hAnsi="仿宋_GB2312" w:eastAsia="仿宋_GB2312" w:cs="仿宋_GB2312"/>
          <w:sz w:val="32"/>
          <w:szCs w:val="32"/>
          <w:u w:val="none"/>
        </w:rPr>
        <w:fldChar w:fldCharType="separate"/>
      </w:r>
      <w:r>
        <w:rPr>
          <w:rStyle w:val="10"/>
          <w:rFonts w:hint="eastAsia" w:ascii="仿宋_GB2312" w:hAnsi="仿宋_GB2312" w:eastAsia="仿宋_GB2312" w:cs="仿宋_GB2312"/>
          <w:sz w:val="32"/>
          <w:szCs w:val="32"/>
          <w:u w:val="none"/>
        </w:rPr>
        <w:t>基本支出</w:t>
      </w:r>
      <w:r>
        <w:rPr>
          <w:rFonts w:hint="eastAsia" w:ascii="仿宋_GB2312" w:hAnsi="仿宋_GB2312" w:eastAsia="仿宋_GB2312" w:cs="仿宋_GB2312"/>
          <w:kern w:val="0"/>
          <w:sz w:val="32"/>
          <w:szCs w:val="32"/>
          <w:u w:val="none"/>
          <w:lang w:val="en-US" w:eastAsia="zh-CN"/>
        </w:rPr>
        <w:t>9425.16</w:t>
      </w:r>
      <w:r>
        <w:rPr>
          <w:rStyle w:val="10"/>
          <w:rFonts w:hint="eastAsia" w:ascii="仿宋_GB2312" w:hAnsi="仿宋_GB2312" w:eastAsia="仿宋_GB2312" w:cs="仿宋_GB2312"/>
          <w:sz w:val="32"/>
          <w:szCs w:val="32"/>
          <w:u w:val="none"/>
        </w:rPr>
        <w:t>万元,较上年预算安排增加</w:t>
      </w:r>
      <w:r>
        <w:rPr>
          <w:rStyle w:val="10"/>
          <w:rFonts w:hint="eastAsia" w:ascii="仿宋_GB2312" w:hAnsi="仿宋_GB2312" w:eastAsia="仿宋_GB2312" w:cs="仿宋_GB2312"/>
          <w:sz w:val="32"/>
          <w:szCs w:val="32"/>
          <w:u w:val="none"/>
          <w:lang w:val="en-US" w:eastAsia="zh-CN"/>
        </w:rPr>
        <w:t>6095.21</w:t>
      </w:r>
      <w:r>
        <w:rPr>
          <w:rStyle w:val="10"/>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r>
        <w:rPr>
          <w:rStyle w:val="10"/>
          <w:rFonts w:hint="eastAsia" w:ascii="仿宋_GB2312" w:hAnsi="仿宋_GB2312" w:eastAsia="仿宋_GB2312" w:cs="仿宋_GB2312"/>
          <w:sz w:val="32"/>
          <w:szCs w:val="32"/>
          <w:u w:val="none"/>
        </w:rPr>
        <w:fldChar w:fldCharType="begin"/>
      </w:r>
      <w:r>
        <w:rPr>
          <w:rStyle w:val="10"/>
          <w:rFonts w:hint="eastAsia" w:ascii="仿宋_GB2312" w:hAnsi="仿宋_GB2312" w:eastAsia="仿宋_GB2312" w:cs="仿宋_GB2312"/>
          <w:sz w:val="32"/>
          <w:szCs w:val="32"/>
          <w:u w:val="none"/>
        </w:rPr>
        <w:instrText xml:space="preserve">MERGEFIELD ${page400644146.ds215660413_REP_BGT_T_HC1100002019_DXQ02_XMZCQK}</w:instrText>
      </w:r>
      <w:r>
        <w:rPr>
          <w:rStyle w:val="10"/>
          <w:rFonts w:hint="eastAsia" w:ascii="仿宋_GB2312" w:hAnsi="仿宋_GB2312" w:eastAsia="仿宋_GB2312" w:cs="仿宋_GB2312"/>
          <w:sz w:val="32"/>
          <w:szCs w:val="32"/>
          <w:u w:val="none"/>
        </w:rPr>
        <w:fldChar w:fldCharType="separate"/>
      </w:r>
      <w:r>
        <w:rPr>
          <w:rStyle w:val="10"/>
          <w:rFonts w:hint="eastAsia" w:ascii="仿宋_GB2312" w:hAnsi="仿宋_GB2312" w:eastAsia="仿宋_GB2312" w:cs="仿宋_GB2312"/>
          <w:sz w:val="32"/>
          <w:szCs w:val="32"/>
          <w:u w:val="none"/>
        </w:rPr>
        <w:t>项目支出</w:t>
      </w:r>
      <w:r>
        <w:rPr>
          <w:rFonts w:hint="eastAsia" w:ascii="仿宋_GB2312" w:hAnsi="仿宋_GB2312" w:eastAsia="仿宋_GB2312" w:cs="仿宋_GB2312"/>
          <w:kern w:val="0"/>
          <w:sz w:val="32"/>
          <w:szCs w:val="32"/>
          <w:u w:val="none"/>
          <w:lang w:val="en-US" w:eastAsia="zh-CN"/>
        </w:rPr>
        <w:t>9800</w:t>
      </w:r>
      <w:r>
        <w:rPr>
          <w:rStyle w:val="10"/>
          <w:rFonts w:hint="eastAsia" w:ascii="仿宋_GB2312" w:hAnsi="仿宋_GB2312" w:eastAsia="仿宋_GB2312" w:cs="仿宋_GB2312"/>
          <w:sz w:val="32"/>
          <w:szCs w:val="32"/>
          <w:u w:val="none"/>
        </w:rPr>
        <w:t>万元,较上年预算安排增加</w:t>
      </w:r>
      <w:r>
        <w:rPr>
          <w:rStyle w:val="10"/>
          <w:rFonts w:hint="eastAsia" w:ascii="仿宋_GB2312" w:hAnsi="仿宋_GB2312" w:eastAsia="仿宋_GB2312" w:cs="仿宋_GB2312"/>
          <w:sz w:val="32"/>
          <w:szCs w:val="32"/>
          <w:u w:val="none"/>
          <w:lang w:val="en-US" w:eastAsia="zh-CN"/>
        </w:rPr>
        <w:t>800</w:t>
      </w:r>
      <w:r>
        <w:rPr>
          <w:rStyle w:val="10"/>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right="0" w:firstLine="640" w:firstLineChars="200"/>
        <w:jc w:val="both"/>
        <w:rPr>
          <w:rFonts w:hint="default" w:eastAsia="仿宋"/>
          <w:lang w:val="en-US" w:eastAsia="zh-CN"/>
        </w:rPr>
      </w:pPr>
      <w:r>
        <w:rPr>
          <w:rFonts w:hint="eastAsia" w:ascii="仿宋" w:hAnsi="仿宋" w:eastAsia="仿宋" w:cs="仿宋"/>
          <w:i w:val="0"/>
          <w:iCs w:val="0"/>
          <w:caps w:val="0"/>
          <w:color w:val="000000"/>
          <w:spacing w:val="0"/>
          <w:sz w:val="32"/>
          <w:szCs w:val="32"/>
          <w:shd w:val="clear" w:fill="FFFFFF"/>
        </w:rPr>
        <w:t>财政拨款支出按经济分类划分：工资福利支出</w:t>
      </w:r>
      <w:r>
        <w:rPr>
          <w:rFonts w:hint="eastAsia" w:ascii="仿宋" w:hAnsi="仿宋" w:eastAsia="仿宋" w:cs="仿宋"/>
          <w:i w:val="0"/>
          <w:iCs w:val="0"/>
          <w:caps w:val="0"/>
          <w:color w:val="000000"/>
          <w:spacing w:val="0"/>
          <w:sz w:val="32"/>
          <w:szCs w:val="32"/>
          <w:shd w:val="clear" w:fill="FFFFFF"/>
          <w:lang w:val="en-US" w:eastAsia="zh-CN"/>
        </w:rPr>
        <w:t>12905.31</w:t>
      </w:r>
      <w:r>
        <w:rPr>
          <w:rFonts w:hint="eastAsia" w:ascii="仿宋" w:hAnsi="仿宋" w:eastAsia="仿宋" w:cs="仿宋"/>
          <w:i w:val="0"/>
          <w:iCs w:val="0"/>
          <w:caps w:val="0"/>
          <w:color w:val="000000"/>
          <w:spacing w:val="0"/>
          <w:sz w:val="32"/>
          <w:szCs w:val="32"/>
          <w:shd w:val="clear" w:fill="FFFFFF"/>
        </w:rPr>
        <w:t>万元，较上年增加</w:t>
      </w:r>
      <w:r>
        <w:rPr>
          <w:rFonts w:hint="eastAsia" w:ascii="仿宋" w:hAnsi="仿宋" w:eastAsia="仿宋" w:cs="仿宋"/>
          <w:i w:val="0"/>
          <w:iCs w:val="0"/>
          <w:caps w:val="0"/>
          <w:color w:val="000000"/>
          <w:spacing w:val="0"/>
          <w:sz w:val="32"/>
          <w:szCs w:val="32"/>
          <w:shd w:val="clear" w:fill="FFFFFF"/>
          <w:lang w:val="en-US" w:eastAsia="zh-CN"/>
        </w:rPr>
        <w:t>7255.14</w:t>
      </w:r>
      <w:r>
        <w:rPr>
          <w:rFonts w:hint="eastAsia" w:ascii="仿宋" w:hAnsi="仿宋" w:eastAsia="仿宋" w:cs="仿宋"/>
          <w:i w:val="0"/>
          <w:iCs w:val="0"/>
          <w:caps w:val="0"/>
          <w:color w:val="000000"/>
          <w:spacing w:val="0"/>
          <w:sz w:val="32"/>
          <w:szCs w:val="32"/>
          <w:shd w:val="clear" w:fill="FFFFFF"/>
        </w:rPr>
        <w:t>万元；商品和服务支出</w:t>
      </w:r>
      <w:r>
        <w:rPr>
          <w:rFonts w:hint="eastAsia" w:ascii="仿宋" w:hAnsi="仿宋" w:eastAsia="仿宋" w:cs="仿宋"/>
          <w:i w:val="0"/>
          <w:iCs w:val="0"/>
          <w:caps w:val="0"/>
          <w:color w:val="000000"/>
          <w:spacing w:val="0"/>
          <w:sz w:val="32"/>
          <w:szCs w:val="32"/>
          <w:shd w:val="clear" w:fill="FFFFFF"/>
          <w:lang w:val="en-US" w:eastAsia="zh-CN"/>
        </w:rPr>
        <w:t>149.38</w:t>
      </w:r>
      <w:r>
        <w:rPr>
          <w:rFonts w:hint="eastAsia" w:ascii="仿宋" w:hAnsi="仿宋" w:eastAsia="仿宋" w:cs="仿宋"/>
          <w:i w:val="0"/>
          <w:iCs w:val="0"/>
          <w:caps w:val="0"/>
          <w:color w:val="000000"/>
          <w:spacing w:val="0"/>
          <w:sz w:val="32"/>
          <w:szCs w:val="32"/>
          <w:shd w:val="clear" w:fill="FFFFFF"/>
        </w:rPr>
        <w:t>万元，较上年</w:t>
      </w:r>
      <w:r>
        <w:rPr>
          <w:rFonts w:hint="eastAsia" w:ascii="仿宋" w:hAnsi="仿宋" w:eastAsia="仿宋" w:cs="仿宋"/>
          <w:i w:val="0"/>
          <w:iCs w:val="0"/>
          <w:caps w:val="0"/>
          <w:color w:val="000000"/>
          <w:spacing w:val="0"/>
          <w:sz w:val="32"/>
          <w:szCs w:val="32"/>
          <w:shd w:val="clear" w:fill="FFFFFF"/>
          <w:lang w:val="en-US" w:eastAsia="zh-CN"/>
        </w:rPr>
        <w:t>增加59.20</w:t>
      </w:r>
      <w:r>
        <w:rPr>
          <w:rFonts w:hint="eastAsia" w:ascii="仿宋" w:hAnsi="仿宋" w:eastAsia="仿宋" w:cs="仿宋"/>
          <w:i w:val="0"/>
          <w:iCs w:val="0"/>
          <w:caps w:val="0"/>
          <w:color w:val="000000"/>
          <w:spacing w:val="0"/>
          <w:sz w:val="32"/>
          <w:szCs w:val="32"/>
          <w:shd w:val="clear" w:fill="FFFFFF"/>
        </w:rPr>
        <w:t>万元；对个人和家庭的补助</w:t>
      </w:r>
      <w:r>
        <w:rPr>
          <w:rFonts w:hint="eastAsia" w:ascii="仿宋" w:hAnsi="仿宋" w:eastAsia="仿宋" w:cs="仿宋"/>
          <w:i w:val="0"/>
          <w:iCs w:val="0"/>
          <w:caps w:val="0"/>
          <w:color w:val="000000"/>
          <w:spacing w:val="0"/>
          <w:sz w:val="32"/>
          <w:szCs w:val="32"/>
          <w:shd w:val="clear" w:fill="FFFFFF"/>
          <w:lang w:val="en-US" w:eastAsia="zh-CN"/>
        </w:rPr>
        <w:t>65.46</w:t>
      </w:r>
      <w:r>
        <w:rPr>
          <w:rFonts w:hint="eastAsia" w:ascii="仿宋" w:hAnsi="仿宋" w:eastAsia="仿宋" w:cs="仿宋"/>
          <w:i w:val="0"/>
          <w:iCs w:val="0"/>
          <w:caps w:val="0"/>
          <w:color w:val="000000"/>
          <w:spacing w:val="0"/>
          <w:sz w:val="32"/>
          <w:szCs w:val="32"/>
          <w:shd w:val="clear" w:fill="FFFFFF"/>
        </w:rPr>
        <w:t>万元，较上年增加</w:t>
      </w:r>
      <w:r>
        <w:rPr>
          <w:rFonts w:hint="eastAsia" w:ascii="仿宋" w:hAnsi="仿宋" w:eastAsia="仿宋" w:cs="仿宋"/>
          <w:i w:val="0"/>
          <w:iCs w:val="0"/>
          <w:caps w:val="0"/>
          <w:color w:val="000000"/>
          <w:spacing w:val="0"/>
          <w:sz w:val="32"/>
          <w:szCs w:val="32"/>
          <w:shd w:val="clear" w:fill="FFFFFF"/>
          <w:lang w:val="en-US" w:eastAsia="zh-CN"/>
        </w:rPr>
        <w:t>24.40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val="en-US" w:eastAsia="zh-CN"/>
        </w:rPr>
        <w:t>资本性支出0万元，较上年减少2万元。</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（三）财政拨款支出情况</w:t>
      </w:r>
    </w:p>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2023年，新余学院</w:t>
      </w:r>
      <w:r>
        <w:rPr>
          <w:rFonts w:hint="eastAsia" w:ascii="仿宋" w:hAnsi="仿宋" w:eastAsia="仿宋" w:cs="仿宋"/>
          <w:sz w:val="32"/>
          <w:szCs w:val="32"/>
          <w:lang w:val="en-US" w:eastAsia="zh-CN"/>
        </w:rPr>
        <w:t>本级</w:t>
      </w:r>
      <w:r>
        <w:rPr>
          <w:rFonts w:hint="eastAsia" w:ascii="仿宋" w:hAnsi="仿宋" w:eastAsia="仿宋" w:cs="仿宋"/>
          <w:sz w:val="32"/>
          <w:szCs w:val="32"/>
        </w:rPr>
        <w:t>一般公共预算拨款总额为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right="0"/>
        <w:jc w:val="both"/>
        <w:rPr>
          <w:rFonts w:hint="eastAsia" w:ascii="仿宋" w:hAnsi="仿宋" w:eastAsia="仿宋" w:cs="仿宋"/>
          <w:sz w:val="32"/>
          <w:szCs w:val="32"/>
          <w:lang w:eastAsia="zh-CN"/>
        </w:rPr>
      </w:pPr>
      <w:r>
        <w:rPr>
          <w:rFonts w:hint="eastAsia" w:ascii="仿宋" w:hAnsi="仿宋" w:eastAsia="仿宋" w:cs="仿宋"/>
          <w:sz w:val="32"/>
          <w:szCs w:val="32"/>
        </w:rPr>
        <w:t>9425.16万元,较上年增加6095.21万元,增幅183.04%,用于人员经费支出为9</w:t>
      </w:r>
      <w:r>
        <w:rPr>
          <w:rFonts w:hint="eastAsia" w:ascii="仿宋" w:hAnsi="仿宋" w:eastAsia="仿宋" w:cs="仿宋"/>
          <w:sz w:val="32"/>
          <w:szCs w:val="32"/>
          <w:lang w:val="en-US" w:eastAsia="zh-CN"/>
        </w:rPr>
        <w:t>354</w:t>
      </w:r>
      <w:r>
        <w:rPr>
          <w:rFonts w:hint="eastAsia" w:ascii="仿宋" w:hAnsi="仿宋" w:eastAsia="仿宋" w:cs="仿宋"/>
          <w:sz w:val="32"/>
          <w:szCs w:val="32"/>
        </w:rPr>
        <w:t>.6万元,较上年增加60</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val="en-US" w:eastAsia="zh-CN"/>
        </w:rPr>
        <w:t>65</w:t>
      </w:r>
      <w:r>
        <w:rPr>
          <w:rFonts w:hint="eastAsia" w:ascii="仿宋" w:hAnsi="仿宋" w:eastAsia="仿宋" w:cs="仿宋"/>
          <w:sz w:val="32"/>
          <w:szCs w:val="32"/>
        </w:rPr>
        <w:t>万元,增幅18</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92</w:t>
      </w:r>
      <w:r>
        <w:rPr>
          <w:rFonts w:hint="eastAsia" w:ascii="仿宋" w:hAnsi="仿宋" w:eastAsia="仿宋" w:cs="仿宋"/>
          <w:sz w:val="32"/>
          <w:szCs w:val="32"/>
        </w:rPr>
        <w:t>％。主要原因是: 因学校人均经费开支加大。</w:t>
      </w:r>
    </w:p>
    <w:p>
      <w:pPr>
        <w:ind w:firstLine="640" w:firstLineChars="200"/>
        <w:rPr>
          <w:rFonts w:hint="eastAsia" w:ascii="仿宋" w:hAnsi="仿宋" w:eastAsia="仿宋" w:cs="仿宋"/>
          <w:sz w:val="32"/>
          <w:szCs w:val="32"/>
          <w:lang w:val="en-US" w:eastAsia="zh-CN"/>
        </w:rPr>
      </w:pPr>
      <w:r>
        <w:rPr>
          <w:rFonts w:hint="eastAsia" w:ascii="仿宋_GB2312" w:hAnsi="Times New Roman" w:eastAsia="仿宋_GB2312" w:cs="Times New Roman"/>
          <w:bCs/>
          <w:color w:val="000000"/>
          <w:sz w:val="32"/>
          <w:szCs w:val="30"/>
        </w:rPr>
        <w:t>按支出项目类别划分</w:t>
      </w:r>
      <w:r>
        <w:rPr>
          <w:rFonts w:hint="eastAsia" w:ascii="仿宋_GB2312" w:hAnsi="Times New Roman" w:eastAsia="仿宋_GB2312" w:cs="Times New Roman"/>
          <w:bCs/>
          <w:color w:val="000000"/>
          <w:sz w:val="32"/>
          <w:szCs w:val="30"/>
          <w:lang w:eastAsia="zh-CN"/>
        </w:rPr>
        <w:t>：</w:t>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${page400644146.ds215660413_REP_BGT_T_HC1100002019_DXQ02_JBZCQKCB}</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基本支出</w:t>
      </w:r>
      <w:r>
        <w:rPr>
          <w:rFonts w:hint="eastAsia" w:ascii="仿宋_GB2312" w:hAnsi="Times New Roman" w:eastAsia="仿宋_GB2312" w:cs="Times New Roman"/>
          <w:bCs/>
          <w:color w:val="000000"/>
          <w:sz w:val="32"/>
          <w:szCs w:val="30"/>
          <w:lang w:val="en-US" w:eastAsia="zh-CN"/>
        </w:rPr>
        <w:t>9425.16</w:t>
      </w:r>
      <w:r>
        <w:rPr>
          <w:rFonts w:hint="eastAsia" w:ascii="仿宋_GB2312" w:hAnsi="Times New Roman" w:eastAsia="仿宋_GB2312" w:cs="Times New Roman"/>
          <w:bCs/>
          <w:color w:val="000000"/>
          <w:sz w:val="32"/>
          <w:szCs w:val="30"/>
        </w:rPr>
        <w:t>万元,较上年预算安排增加</w:t>
      </w:r>
      <w:r>
        <w:rPr>
          <w:rFonts w:hint="eastAsia" w:ascii="仿宋" w:hAnsi="仿宋" w:eastAsia="仿宋" w:cs="仿宋"/>
          <w:color w:val="000000"/>
          <w:sz w:val="32"/>
          <w:szCs w:val="32"/>
          <w:lang w:val="en-US" w:eastAsia="zh-CN"/>
        </w:rPr>
        <w:t>6095.21</w:t>
      </w:r>
      <w:r>
        <w:rPr>
          <w:rFonts w:hint="eastAsia" w:ascii="仿宋_GB2312" w:hAnsi="Times New Roman" w:eastAsia="仿宋_GB2312" w:cs="Times New Roman"/>
          <w:bCs/>
          <w:color w:val="000000"/>
          <w:sz w:val="32"/>
          <w:szCs w:val="30"/>
        </w:rPr>
        <w:t>万元;其中：工资福利支出</w:t>
      </w:r>
      <w:r>
        <w:rPr>
          <w:rFonts w:hint="eastAsia" w:ascii="仿宋" w:hAnsi="仿宋" w:eastAsia="仿宋" w:cs="仿宋"/>
          <w:sz w:val="32"/>
          <w:szCs w:val="32"/>
          <w:lang w:val="en-US" w:eastAsia="zh-CN"/>
        </w:rPr>
        <w:t>9296.31</w:t>
      </w:r>
      <w:r>
        <w:rPr>
          <w:rFonts w:hint="eastAsia" w:ascii="仿宋_GB2312" w:hAnsi="Times New Roman" w:eastAsia="仿宋_GB2312" w:cs="Times New Roman"/>
          <w:bCs/>
          <w:color w:val="000000"/>
          <w:sz w:val="32"/>
          <w:szCs w:val="30"/>
        </w:rPr>
        <w:t>万元,商品和服务支出</w:t>
      </w:r>
      <w:r>
        <w:rPr>
          <w:rFonts w:hint="eastAsia" w:ascii="仿宋" w:hAnsi="仿宋" w:eastAsia="仿宋" w:cs="仿宋"/>
          <w:color w:val="000000"/>
          <w:sz w:val="32"/>
          <w:szCs w:val="32"/>
          <w:lang w:val="en-US" w:eastAsia="zh-CN"/>
        </w:rPr>
        <w:t>70.55</w:t>
      </w:r>
      <w:r>
        <w:rPr>
          <w:rFonts w:hint="eastAsia" w:ascii="仿宋_GB2312" w:hAnsi="Times New Roman" w:eastAsia="仿宋_GB2312" w:cs="Times New Roman"/>
          <w:bCs/>
          <w:color w:val="000000"/>
          <w:sz w:val="32"/>
          <w:szCs w:val="30"/>
        </w:rPr>
        <w:t>万元,对个人和家庭的补助</w:t>
      </w:r>
      <w:r>
        <w:rPr>
          <w:rFonts w:hint="eastAsia" w:ascii="仿宋" w:hAnsi="仿宋" w:eastAsia="仿宋" w:cs="仿宋"/>
          <w:color w:val="000000"/>
          <w:sz w:val="32"/>
          <w:szCs w:val="32"/>
          <w:lang w:val="en-US" w:eastAsia="zh-CN"/>
        </w:rPr>
        <w:t>58.29</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w:t>
      </w:r>
      <w:r>
        <w:rPr>
          <w:rFonts w:hint="eastAsia" w:ascii="仿宋_GB2312" w:hAnsi="Times New Roman" w:eastAsia="仿宋_GB2312" w:cs="Times New Roman"/>
          <w:bCs/>
          <w:color w:val="000000"/>
          <w:sz w:val="32"/>
          <w:szCs w:val="30"/>
        </w:rPr>
        <w:t>资本性支出</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rPr>
        <w:fldChar w:fldCharType="end"/>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${page400644146.ds215660413_REP_BGT_T_HC1100002019_DXQ02_XMZCQKCB}</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项目支出</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万元,较上年预算安排增加</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万元;其中：</w:t>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${page400644146.ds215660413_REP_BGT_T_HC1100002019_DXQ02_XMZCQK}</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工资福利支出</w:t>
      </w:r>
      <w:r>
        <w:rPr>
          <w:rFonts w:hint="eastAsia" w:ascii="仿宋_GB2312" w:hAnsi="Times New Roman" w:eastAsia="仿宋_GB2312" w:cs="Times New Roman"/>
          <w:bCs/>
          <w:color w:val="000000"/>
          <w:sz w:val="32"/>
          <w:szCs w:val="30"/>
          <w:lang w:val="en-US" w:eastAsia="zh-CN"/>
        </w:rPr>
        <w:t xml:space="preserve">0 </w:t>
      </w:r>
      <w:r>
        <w:rPr>
          <w:rFonts w:hint="eastAsia" w:ascii="仿宋_GB2312" w:hAnsi="Times New Roman" w:eastAsia="仿宋_GB2312" w:cs="Times New Roman"/>
          <w:bCs/>
          <w:color w:val="000000"/>
          <w:sz w:val="32"/>
          <w:szCs w:val="30"/>
        </w:rPr>
        <w:t>万元,商品和服务支出</w:t>
      </w:r>
      <w:r>
        <w:rPr>
          <w:rFonts w:hint="eastAsia" w:ascii="仿宋_GB2312" w:hAnsi="Times New Roman" w:eastAsia="仿宋_GB2312" w:cs="Times New Roman"/>
          <w:bCs/>
          <w:color w:val="000000"/>
          <w:sz w:val="32"/>
          <w:szCs w:val="30"/>
          <w:lang w:val="en-US" w:eastAsia="zh-CN"/>
        </w:rPr>
        <w:t xml:space="preserve"> 0</w:t>
      </w:r>
      <w:r>
        <w:rPr>
          <w:rFonts w:hint="eastAsia" w:ascii="仿宋_GB2312" w:hAnsi="Times New Roman" w:eastAsia="仿宋_GB2312" w:cs="Times New Roman"/>
          <w:bCs/>
          <w:color w:val="000000"/>
          <w:sz w:val="32"/>
          <w:szCs w:val="30"/>
        </w:rPr>
        <w:t>万元,对个人和家庭的补助</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债务利息及费用</w:t>
      </w:r>
      <w:r>
        <w:rPr>
          <w:rFonts w:hint="eastAsia" w:ascii="仿宋_GB2312" w:hAnsi="Times New Roman" w:eastAsia="仿宋_GB2312" w:cs="Times New Roman"/>
          <w:bCs/>
          <w:color w:val="000000"/>
          <w:sz w:val="32"/>
          <w:szCs w:val="30"/>
        </w:rPr>
        <w:t>支出</w:t>
      </w:r>
      <w:r>
        <w:rPr>
          <w:rFonts w:hint="eastAsia" w:ascii="仿宋_GB2312" w:hAnsi="Times New Roman" w:eastAsia="仿宋_GB2312" w:cs="Times New Roman"/>
          <w:bCs/>
          <w:color w:val="000000"/>
          <w:sz w:val="32"/>
          <w:szCs w:val="30"/>
          <w:lang w:val="en-US" w:eastAsia="zh-CN"/>
        </w:rPr>
        <w:t xml:space="preserve">0 </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，基本建设</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万元,资本性支出</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，对企业补助</w:t>
      </w:r>
      <w:r>
        <w:rPr>
          <w:rFonts w:hint="eastAsia" w:ascii="仿宋_GB2312" w:hAnsi="Times New Roman" w:eastAsia="仿宋_GB2312" w:cs="Times New Roman"/>
          <w:bCs/>
          <w:color w:val="000000"/>
          <w:sz w:val="32"/>
          <w:szCs w:val="30"/>
          <w:lang w:val="en-US" w:eastAsia="zh-CN"/>
        </w:rPr>
        <w:t xml:space="preserve"> 0万元，其他支出0万元</w:t>
      </w:r>
      <w:r>
        <w:rPr>
          <w:rFonts w:hint="eastAsia" w:ascii="仿宋_GB2312" w:hAnsi="Times New Roman" w:eastAsia="仿宋_GB2312" w:cs="Times New Roman"/>
          <w:bCs/>
          <w:color w:val="000000"/>
          <w:sz w:val="32"/>
          <w:szCs w:val="30"/>
        </w:rPr>
        <w:t>。</w:t>
      </w:r>
      <w:r>
        <w:rPr>
          <w:rFonts w:hint="eastAsia" w:ascii="仿宋_GB2312" w:hAnsi="Times New Roman" w:eastAsia="仿宋_GB2312" w:cs="Times New Roman"/>
          <w:bCs/>
          <w:color w:val="000000"/>
          <w:sz w:val="32"/>
          <w:szCs w:val="30"/>
        </w:rPr>
        <w:fldChar w:fldCharType="end"/>
      </w:r>
      <w:r>
        <w:rPr>
          <w:rFonts w:hint="eastAsia" w:ascii="仿宋_GB2312" w:hAnsi="Times New Roman" w:eastAsia="仿宋_GB2312" w:cs="Times New Roman"/>
          <w:bCs/>
          <w:color w:val="000000"/>
          <w:sz w:val="32"/>
          <w:szCs w:val="30"/>
        </w:rPr>
        <w:fldChar w:fldCharType="end"/>
      </w:r>
      <w:bookmarkStart w:id="0" w:name="_GoBack"/>
      <w:bookmarkEnd w:id="0"/>
    </w:p>
    <w:p>
      <w:pPr>
        <w:rPr>
          <w:rFonts w:hint="eastAsia" w:ascii="仿宋" w:hAnsi="仿宋" w:eastAsia="仿宋" w:cs="仿宋"/>
          <w:b/>
          <w:bCs/>
          <w:sz w:val="32"/>
          <w:szCs w:val="32"/>
        </w:rPr>
      </w:pPr>
      <w:r>
        <w:rPr>
          <w:rFonts w:hint="eastAsia" w:ascii="仿宋" w:hAnsi="仿宋" w:eastAsia="仿宋" w:cs="仿宋"/>
          <w:b/>
          <w:bCs/>
          <w:sz w:val="32"/>
          <w:szCs w:val="32"/>
        </w:rPr>
        <w:t>（四）政府性基金情况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2023年，我校没有使用政府性基金预算拨款安排的支出。</w:t>
      </w:r>
    </w:p>
    <w:p>
      <w:pPr>
        <w:rPr>
          <w:rFonts w:hint="eastAsia" w:ascii="仿宋" w:hAnsi="仿宋" w:eastAsia="仿宋" w:cs="仿宋"/>
          <w:b/>
          <w:bCs/>
          <w:sz w:val="32"/>
          <w:szCs w:val="32"/>
        </w:rPr>
      </w:pPr>
      <w:r>
        <w:rPr>
          <w:rFonts w:hint="eastAsia" w:ascii="仿宋" w:hAnsi="仿宋" w:eastAsia="仿宋" w:cs="仿宋"/>
          <w:b/>
          <w:bCs/>
          <w:sz w:val="32"/>
          <w:szCs w:val="32"/>
        </w:rPr>
        <w:t>（五）国有资本经营情况</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2023年，我校没有使用国有资本经营预算拨款安排的支出。</w:t>
      </w:r>
    </w:p>
    <w:p>
      <w:pPr>
        <w:rPr>
          <w:rFonts w:hint="eastAsia" w:ascii="仿宋" w:hAnsi="仿宋" w:eastAsia="仿宋" w:cs="仿宋"/>
          <w:b/>
          <w:bCs/>
          <w:sz w:val="32"/>
          <w:szCs w:val="32"/>
        </w:rPr>
      </w:pPr>
      <w:r>
        <w:rPr>
          <w:rFonts w:hint="eastAsia" w:ascii="仿宋" w:hAnsi="仿宋" w:eastAsia="仿宋" w:cs="仿宋"/>
          <w:sz w:val="32"/>
          <w:szCs w:val="32"/>
        </w:rPr>
        <w:t>（</w:t>
      </w:r>
      <w:r>
        <w:rPr>
          <w:rFonts w:hint="eastAsia" w:ascii="仿宋" w:hAnsi="仿宋" w:eastAsia="仿宋" w:cs="仿宋"/>
          <w:b/>
          <w:bCs/>
          <w:sz w:val="32"/>
          <w:szCs w:val="32"/>
        </w:rPr>
        <w:t>六）机关运行经费等重要事项的说明</w:t>
      </w:r>
    </w:p>
    <w:p>
      <w:pPr>
        <w:pStyle w:val="7"/>
        <w:spacing w:before="240" w:beforeAutospacing="0" w:after="240" w:afterAutospacing="0" w:line="480" w:lineRule="auto"/>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年新余市</w:t>
      </w:r>
      <w:r>
        <w:rPr>
          <w:rFonts w:hint="eastAsia" w:ascii="仿宋" w:hAnsi="仿宋" w:eastAsia="仿宋" w:cs="仿宋"/>
          <w:color w:val="000000"/>
          <w:sz w:val="32"/>
          <w:szCs w:val="32"/>
          <w:lang w:val="en-US" w:eastAsia="zh-CN"/>
        </w:rPr>
        <w:t>本级机关</w:t>
      </w:r>
      <w:r>
        <w:rPr>
          <w:rFonts w:hint="eastAsia" w:ascii="仿宋" w:hAnsi="仿宋" w:eastAsia="仿宋" w:cs="仿宋"/>
          <w:color w:val="000000"/>
          <w:sz w:val="32"/>
          <w:szCs w:val="32"/>
        </w:rPr>
        <w:t>运行</w:t>
      </w:r>
      <w:r>
        <w:rPr>
          <w:rFonts w:hint="eastAsia" w:ascii="仿宋" w:hAnsi="仿宋" w:eastAsia="仿宋" w:cs="仿宋"/>
          <w:color w:val="000000"/>
          <w:sz w:val="32"/>
          <w:szCs w:val="32"/>
          <w:lang w:val="en-US" w:eastAsia="zh-CN"/>
        </w:rPr>
        <w:t>经</w:t>
      </w:r>
      <w:r>
        <w:rPr>
          <w:rFonts w:hint="eastAsia" w:ascii="仿宋" w:hAnsi="仿宋" w:eastAsia="仿宋" w:cs="仿宋"/>
          <w:color w:val="000000"/>
          <w:sz w:val="32"/>
          <w:szCs w:val="32"/>
        </w:rPr>
        <w:t>费预算</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55</w:t>
      </w:r>
      <w:r>
        <w:rPr>
          <w:rFonts w:hint="eastAsia" w:ascii="仿宋" w:hAnsi="仿宋" w:eastAsia="仿宋" w:cs="仿宋"/>
          <w:color w:val="000000"/>
          <w:sz w:val="32"/>
          <w:szCs w:val="32"/>
        </w:rPr>
        <w:t>万元，比202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年预算增加</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55</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0%。主要原因:增加</w:t>
      </w:r>
      <w:r>
        <w:rPr>
          <w:rFonts w:hint="eastAsia" w:ascii="仿宋" w:hAnsi="仿宋" w:eastAsia="仿宋" w:cs="仿宋"/>
          <w:color w:val="000000"/>
          <w:sz w:val="32"/>
          <w:szCs w:val="32"/>
          <w:lang w:val="en-US" w:eastAsia="zh-CN"/>
        </w:rPr>
        <w:t>取暖费</w:t>
      </w:r>
      <w:r>
        <w:rPr>
          <w:rFonts w:hint="eastAsia" w:ascii="仿宋" w:hAnsi="仿宋" w:eastAsia="仿宋" w:cs="仿宋"/>
          <w:color w:val="000000"/>
          <w:sz w:val="32"/>
          <w:szCs w:val="32"/>
        </w:rPr>
        <w:t>。其中:取暖费</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万元。</w:t>
      </w:r>
    </w:p>
    <w:p>
      <w:pPr>
        <w:pStyle w:val="7"/>
        <w:spacing w:before="240" w:beforeAutospacing="0" w:after="240" w:afterAutospacing="0" w:line="480" w:lineRule="auto"/>
        <w:ind w:firstLine="480"/>
        <w:jc w:val="both"/>
        <w:rPr>
          <w:rFonts w:hint="eastAsia" w:ascii="仿宋" w:hAnsi="仿宋" w:eastAsia="仿宋" w:cs="仿宋"/>
          <w:b/>
          <w:bCs/>
          <w:sz w:val="32"/>
          <w:szCs w:val="32"/>
        </w:rPr>
      </w:pPr>
      <w:r>
        <w:rPr>
          <w:rFonts w:hint="eastAsia" w:ascii="仿宋" w:hAnsi="仿宋" w:eastAsia="仿宋" w:cs="仿宋"/>
          <w:b/>
          <w:bCs/>
          <w:sz w:val="32"/>
          <w:szCs w:val="32"/>
        </w:rPr>
        <w:t>（七）政府采购情况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2023年部门所属各单位政府采购总额 0 万元。主要原因是：历年来,新余学院本级经费预算编制(含一般公共预算拨款收入和教育收费资金)仅能保证人员经费支出及公用经费支出,各种政府采购项目在年初无经费来源,故在年初</w:t>
      </w:r>
      <w:r>
        <w:rPr>
          <w:rFonts w:hint="eastAsia" w:ascii="仿宋" w:hAnsi="仿宋" w:eastAsia="仿宋" w:cs="仿宋"/>
          <w:sz w:val="32"/>
          <w:szCs w:val="32"/>
          <w:lang w:val="en-US" w:eastAsia="zh-CN"/>
        </w:rPr>
        <w:t>未</w:t>
      </w:r>
      <w:r>
        <w:rPr>
          <w:rFonts w:hint="eastAsia" w:ascii="仿宋" w:hAnsi="仿宋" w:eastAsia="仿宋" w:cs="仿宋"/>
          <w:sz w:val="32"/>
          <w:szCs w:val="32"/>
        </w:rPr>
        <w:t>编制政府采购项目预算。</w:t>
      </w:r>
    </w:p>
    <w:p>
      <w:pPr>
        <w:rPr>
          <w:rFonts w:hint="eastAsia" w:ascii="仿宋" w:hAnsi="仿宋" w:eastAsia="仿宋" w:cs="仿宋"/>
          <w:b/>
          <w:bCs/>
          <w:sz w:val="32"/>
          <w:szCs w:val="32"/>
        </w:rPr>
      </w:pPr>
      <w:r>
        <w:rPr>
          <w:rFonts w:hint="eastAsia" w:ascii="仿宋" w:hAnsi="仿宋" w:eastAsia="仿宋" w:cs="仿宋"/>
          <w:b/>
          <w:bCs/>
          <w:sz w:val="32"/>
          <w:szCs w:val="32"/>
        </w:rPr>
        <w:t>（八）国有资产占有使用情况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截至2022年9月31日，部门共有车辆5辆，其中，一般公务用车 5辆，执法执勤用车0辆。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2023年部门预算安排购置车辆 0辆，安排购置单位价值200万元以上大型设备具体为：无。</w:t>
      </w:r>
    </w:p>
    <w:p>
      <w:pPr>
        <w:rPr>
          <w:rFonts w:hint="eastAsia" w:ascii="仿宋" w:hAnsi="仿宋" w:eastAsia="仿宋" w:cs="仿宋"/>
          <w:b/>
          <w:bCs/>
          <w:sz w:val="32"/>
          <w:szCs w:val="32"/>
        </w:rPr>
      </w:pPr>
      <w:r>
        <w:rPr>
          <w:rFonts w:hint="eastAsia" w:ascii="仿宋" w:hAnsi="仿宋" w:eastAsia="仿宋" w:cs="仿宋"/>
          <w:b/>
          <w:bCs/>
          <w:sz w:val="32"/>
          <w:szCs w:val="32"/>
        </w:rPr>
        <w:t>（九）</w:t>
      </w:r>
      <w:r>
        <w:rPr>
          <w:rFonts w:hint="eastAsia" w:ascii="仿宋" w:hAnsi="仿宋" w:eastAsia="仿宋" w:cs="仿宋"/>
          <w:b/>
          <w:bCs/>
          <w:sz w:val="32"/>
          <w:szCs w:val="32"/>
          <w:lang w:val="en-US" w:eastAsia="zh-CN"/>
        </w:rPr>
        <w:t>财政专户管理资金</w:t>
      </w:r>
      <w:r>
        <w:rPr>
          <w:rFonts w:hint="eastAsia" w:ascii="仿宋" w:hAnsi="仿宋" w:eastAsia="仿宋" w:cs="仿宋"/>
          <w:b/>
          <w:bCs/>
          <w:sz w:val="32"/>
          <w:szCs w:val="32"/>
        </w:rPr>
        <w:t>项目情况说明</w:t>
      </w:r>
    </w:p>
    <w:p>
      <w:pPr>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财政专户管理资金</w:t>
      </w:r>
      <w:r>
        <w:rPr>
          <w:rFonts w:hint="eastAsia" w:ascii="仿宋" w:hAnsi="仿宋" w:eastAsia="仿宋" w:cs="仿宋"/>
          <w:b/>
          <w:bCs/>
          <w:sz w:val="32"/>
          <w:szCs w:val="32"/>
        </w:rPr>
        <w:t>项目</w:t>
      </w:r>
    </w:p>
    <w:p>
      <w:pPr>
        <w:rPr>
          <w:rFonts w:hint="eastAsia" w:ascii="仿宋" w:hAnsi="仿宋" w:eastAsia="仿宋" w:cs="仿宋"/>
          <w:b/>
          <w:bCs/>
          <w:sz w:val="32"/>
          <w:szCs w:val="32"/>
        </w:rPr>
      </w:pPr>
      <w:r>
        <w:rPr>
          <w:rFonts w:hint="eastAsia" w:ascii="仿宋" w:hAnsi="仿宋" w:eastAsia="仿宋" w:cs="仿宋"/>
          <w:b/>
          <w:bCs/>
          <w:sz w:val="32"/>
          <w:szCs w:val="32"/>
        </w:rPr>
        <w:t xml:space="preserve">   1）项目概述</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财政专户管理资金项目是我校资金来源的重要组成部分，主要是指在校学生每年缴纳的学费和住宿费等收费收入。因2023年我校学生人数增加，财政专户管理资金9800万元，比2022年增加800万元，</w:t>
      </w:r>
      <w:r>
        <w:rPr>
          <w:rFonts w:hint="eastAsia" w:ascii="仿宋" w:hAnsi="仿宋" w:eastAsia="仿宋" w:cs="仿宋"/>
          <w:sz w:val="32"/>
          <w:szCs w:val="32"/>
        </w:rPr>
        <w:t>增幅8.89%</w:t>
      </w:r>
      <w:r>
        <w:rPr>
          <w:rFonts w:hint="eastAsia" w:ascii="仿宋" w:hAnsi="仿宋" w:eastAsia="仿宋" w:cs="仿宋"/>
          <w:sz w:val="32"/>
          <w:szCs w:val="32"/>
          <w:lang w:val="en-US" w:eastAsia="zh-CN"/>
        </w:rPr>
        <w:t>。</w:t>
      </w:r>
    </w:p>
    <w:p>
      <w:pPr>
        <w:numPr>
          <w:ilvl w:val="0"/>
          <w:numId w:val="1"/>
        </w:numPr>
        <w:ind w:left="63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立项依据</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主要用于保障学校各项事业的正常运转，推动我校学科发展能力、人才培养能力、师资队伍建设能力等大幅提升，促进教育教学与科研的发展、提升信息化建设。</w:t>
      </w:r>
    </w:p>
    <w:p>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实施主体</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新余学院。</w:t>
      </w:r>
    </w:p>
    <w:p>
      <w:pPr>
        <w:numPr>
          <w:ilvl w:val="0"/>
          <w:numId w:val="0"/>
        </w:numPr>
        <w:ind w:left="630"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实施方案</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对财政专户资金的监管力度，规范支出，提高资金使用效益，根据《中华人民共和国预算法》及其实施条例，2023年我校财政专户管理资金9800万元，主要用于人员支出6000万元，公用支出3800万元。财政专户管理资金我校应严格按照批准的用途专款专用、独立核算、绩效考评，充分发挥财政专项资金的作用。定期对财政专资金使用情况进行专项检查，加强事前、事中和事后的监督，发现问题，及时纠正。</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5）实施周期</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2023年度。</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6）年度预算安排</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根据学校学生人数核定，2023年财政专户管理资金经费预算为9800万元。</w:t>
      </w:r>
    </w:p>
    <w:p>
      <w:pPr>
        <w:numPr>
          <w:ilvl w:val="0"/>
          <w:numId w:val="2"/>
        </w:numPr>
        <w:rPr>
          <w:rFonts w:hint="eastAsia" w:ascii="仿宋" w:hAnsi="仿宋" w:eastAsia="仿宋" w:cs="仿宋"/>
          <w:b/>
          <w:bCs/>
          <w:sz w:val="32"/>
          <w:szCs w:val="32"/>
        </w:rPr>
      </w:pPr>
      <w:r>
        <w:rPr>
          <w:rFonts w:hint="eastAsia" w:ascii="仿宋" w:hAnsi="仿宋" w:eastAsia="仿宋" w:cs="仿宋"/>
          <w:b/>
          <w:bCs/>
          <w:sz w:val="32"/>
          <w:szCs w:val="32"/>
        </w:rPr>
        <w:t>绩效目标和指标</w:t>
      </w:r>
    </w:p>
    <w:tbl>
      <w:tblPr>
        <w:tblStyle w:val="8"/>
        <w:tblW w:w="7752" w:type="dxa"/>
        <w:tblInd w:w="96" w:type="dxa"/>
        <w:shd w:val="clear" w:color="auto" w:fill="auto"/>
        <w:tblLayout w:type="autofit"/>
        <w:tblCellMar>
          <w:top w:w="0" w:type="dxa"/>
          <w:left w:w="108" w:type="dxa"/>
          <w:bottom w:w="0" w:type="dxa"/>
          <w:right w:w="108" w:type="dxa"/>
        </w:tblCellMar>
      </w:tblPr>
      <w:tblGrid>
        <w:gridCol w:w="960"/>
        <w:gridCol w:w="1668"/>
        <w:gridCol w:w="2040"/>
        <w:gridCol w:w="1260"/>
        <w:gridCol w:w="1824"/>
      </w:tblGrid>
      <w:tr>
        <w:tblPrEx>
          <w:shd w:val="clear" w:color="auto" w:fill="auto"/>
          <w:tblCellMar>
            <w:top w:w="0" w:type="dxa"/>
            <w:left w:w="108" w:type="dxa"/>
            <w:bottom w:w="0" w:type="dxa"/>
            <w:right w:w="108" w:type="dxa"/>
          </w:tblCellMar>
        </w:tblPrEx>
        <w:trPr>
          <w:trHeight w:val="444" w:hRule="atLeast"/>
        </w:trPr>
        <w:tc>
          <w:tcPr>
            <w:tcW w:w="775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仿宋" w:hAnsi="仿宋" w:eastAsia="仿宋" w:cs="仿宋"/>
                <w:i w:val="0"/>
                <w:iCs w:val="0"/>
                <w:color w:val="000000"/>
                <w:kern w:val="0"/>
                <w:sz w:val="32"/>
                <w:szCs w:val="32"/>
                <w:u w:val="none"/>
                <w:lang w:val="en-US" w:eastAsia="zh-CN" w:bidi="ar"/>
              </w:rPr>
              <w:t>项目支出绩效目标表</w:t>
            </w:r>
          </w:p>
        </w:tc>
      </w:tr>
      <w:tr>
        <w:tblPrEx>
          <w:tblCellMar>
            <w:top w:w="0" w:type="dxa"/>
            <w:left w:w="108" w:type="dxa"/>
            <w:bottom w:w="0" w:type="dxa"/>
            <w:right w:w="108" w:type="dxa"/>
          </w:tblCellMar>
        </w:tblPrEx>
        <w:trPr>
          <w:trHeight w:val="312" w:hRule="atLeast"/>
        </w:trPr>
        <w:tc>
          <w:tcPr>
            <w:tcW w:w="775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（2023度）</w:t>
            </w:r>
          </w:p>
        </w:tc>
      </w:tr>
      <w:tr>
        <w:tblPrEx>
          <w:tblCellMar>
            <w:top w:w="0" w:type="dxa"/>
            <w:left w:w="108" w:type="dxa"/>
            <w:bottom w:w="0" w:type="dxa"/>
            <w:right w:w="108" w:type="dxa"/>
          </w:tblCellMar>
        </w:tblPrEx>
        <w:trPr>
          <w:trHeight w:val="312" w:hRule="atLeast"/>
        </w:trPr>
        <w:tc>
          <w:tcPr>
            <w:tcW w:w="2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财政专户管理资金</w:t>
            </w:r>
          </w:p>
        </w:tc>
      </w:tr>
      <w:tr>
        <w:tblPrEx>
          <w:tblCellMar>
            <w:top w:w="0" w:type="dxa"/>
            <w:left w:w="108" w:type="dxa"/>
            <w:bottom w:w="0" w:type="dxa"/>
            <w:right w:w="108" w:type="dxa"/>
          </w:tblCellMar>
        </w:tblPrEx>
        <w:trPr>
          <w:trHeight w:val="312" w:hRule="atLeast"/>
        </w:trPr>
        <w:tc>
          <w:tcPr>
            <w:tcW w:w="2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615-新余学院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新余学院</w:t>
            </w:r>
          </w:p>
        </w:tc>
      </w:tr>
      <w:tr>
        <w:tblPrEx>
          <w:tblCellMar>
            <w:top w:w="0" w:type="dxa"/>
            <w:left w:w="108" w:type="dxa"/>
            <w:bottom w:w="0" w:type="dxa"/>
            <w:right w:w="108" w:type="dxa"/>
          </w:tblCellMar>
        </w:tblPrEx>
        <w:trPr>
          <w:trHeight w:val="312" w:hRule="atLeast"/>
        </w:trPr>
        <w:tc>
          <w:tcPr>
            <w:tcW w:w="2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r>
      <w:tr>
        <w:tblPrEx>
          <w:tblCellMar>
            <w:top w:w="0" w:type="dxa"/>
            <w:left w:w="108" w:type="dxa"/>
            <w:bottom w:w="0" w:type="dxa"/>
            <w:right w:w="108" w:type="dxa"/>
          </w:tblCellMar>
        </w:tblPrEx>
        <w:trPr>
          <w:trHeight w:val="312" w:hRule="atLeast"/>
        </w:trPr>
        <w:tc>
          <w:tcPr>
            <w:tcW w:w="2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12" w:hRule="atLeast"/>
        </w:trPr>
        <w:tc>
          <w:tcPr>
            <w:tcW w:w="2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r>
      <w:tr>
        <w:tblPrEx>
          <w:tblCellMar>
            <w:top w:w="0" w:type="dxa"/>
            <w:left w:w="108" w:type="dxa"/>
            <w:bottom w:w="0" w:type="dxa"/>
            <w:right w:w="108" w:type="dxa"/>
          </w:tblCellMar>
        </w:tblPrEx>
        <w:trPr>
          <w:trHeight w:val="312" w:hRule="atLeast"/>
        </w:trPr>
        <w:tc>
          <w:tcPr>
            <w:tcW w:w="2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1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tblPrEx>
          <w:tblCellMar>
            <w:top w:w="0" w:type="dxa"/>
            <w:left w:w="108" w:type="dxa"/>
            <w:bottom w:w="0" w:type="dxa"/>
            <w:right w:w="108" w:type="dxa"/>
          </w:tblCellMar>
        </w:tblPrEx>
        <w:trPr>
          <w:trHeight w:val="1520" w:hRule="atLeast"/>
        </w:trPr>
        <w:tc>
          <w:tcPr>
            <w:tcW w:w="7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提高学校教育经费保障能力，增强学校运转保障水平，进一步提升学校育人环境育人的功能，确保学校各项教育教学工作顺利开展。</w:t>
            </w:r>
          </w:p>
        </w:tc>
      </w:tr>
      <w:tr>
        <w:tblPrEx>
          <w:tblCellMar>
            <w:top w:w="0" w:type="dxa"/>
            <w:left w:w="108" w:type="dxa"/>
            <w:bottom w:w="0" w:type="dxa"/>
            <w:right w:w="108" w:type="dxa"/>
          </w:tblCellMar>
        </w:tblPrEx>
        <w:trPr>
          <w:trHeight w:val="6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＝6000万元</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＝3800万元</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社会成本指标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社会负面影响率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生均拨款水平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≥12000元/人</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受益学生数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≥15080人</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生均预算执行率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教职工工资保障水平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教育教学活动开展及时率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学校整体综合办学水平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学生就业率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学生家长满意度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教职工满意度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p>
      <w:pPr>
        <w:jc w:val="left"/>
        <w:rPr>
          <w:rFonts w:hint="eastAsia" w:ascii="仿宋" w:hAnsi="仿宋" w:eastAsia="仿宋" w:cs="仿宋"/>
          <w:b/>
          <w:bCs/>
          <w:sz w:val="32"/>
          <w:szCs w:val="32"/>
        </w:rPr>
      </w:pPr>
      <w:r>
        <w:rPr>
          <w:rFonts w:hint="eastAsia" w:ascii="仿宋" w:hAnsi="仿宋" w:eastAsia="仿宋" w:cs="仿宋"/>
          <w:b/>
          <w:bCs/>
          <w:sz w:val="32"/>
          <w:szCs w:val="32"/>
        </w:rPr>
        <w:t>二、2023年“三公”经费预算情况说明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sz w:val="32"/>
          <w:szCs w:val="32"/>
        </w:rPr>
        <w:t>2023年我校“三公”经费预算安排0万元</w:t>
      </w:r>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sz w:val="32"/>
          <w:szCs w:val="32"/>
          <w:shd w:val="clear" w:fill="FFFFFF"/>
        </w:rPr>
        <w:t>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因公出国（境）费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较上年</w:t>
      </w:r>
      <w:r>
        <w:rPr>
          <w:rFonts w:hint="eastAsia" w:ascii="仿宋" w:hAnsi="仿宋" w:eastAsia="仿宋" w:cs="仿宋"/>
          <w:i w:val="0"/>
          <w:iCs w:val="0"/>
          <w:caps w:val="0"/>
          <w:color w:val="333333"/>
          <w:spacing w:val="0"/>
          <w:sz w:val="32"/>
          <w:szCs w:val="32"/>
          <w:shd w:val="clear" w:fill="FFFFFF"/>
          <w:lang w:val="en-US" w:eastAsia="zh-CN"/>
        </w:rPr>
        <w:t>增0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rPr>
        <w:t>。主要原因是：</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财政专户管理经费</w:t>
      </w:r>
      <w:r>
        <w:rPr>
          <w:rFonts w:hint="eastAsia" w:ascii="仿宋" w:hAnsi="仿宋" w:eastAsia="仿宋" w:cs="仿宋"/>
          <w:sz w:val="32"/>
          <w:szCs w:val="32"/>
        </w:rPr>
        <w:t>中列支</w:t>
      </w:r>
      <w:r>
        <w:rPr>
          <w:rFonts w:hint="eastAsia" w:ascii="仿宋" w:hAnsi="仿宋" w:eastAsia="仿宋" w:cs="仿宋"/>
          <w:i w:val="0"/>
          <w:iCs w:val="0"/>
          <w:caps w:val="0"/>
          <w:color w:val="333333"/>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公务接待费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万元，较上年</w:t>
      </w:r>
      <w:r>
        <w:rPr>
          <w:rFonts w:hint="eastAsia" w:ascii="仿宋" w:hAnsi="仿宋" w:eastAsia="仿宋" w:cs="仿宋"/>
          <w:i w:val="0"/>
          <w:iCs w:val="0"/>
          <w:caps w:val="0"/>
          <w:color w:val="333333"/>
          <w:spacing w:val="0"/>
          <w:sz w:val="32"/>
          <w:szCs w:val="32"/>
          <w:shd w:val="clear" w:fill="FFFFFF"/>
          <w:lang w:val="en-US" w:eastAsia="zh-CN"/>
        </w:rPr>
        <w:t>增0</w:t>
      </w:r>
      <w:r>
        <w:rPr>
          <w:rFonts w:hint="eastAsia" w:ascii="仿宋" w:hAnsi="仿宋" w:eastAsia="仿宋" w:cs="仿宋"/>
          <w:i w:val="0"/>
          <w:iCs w:val="0"/>
          <w:caps w:val="0"/>
          <w:color w:val="333333"/>
          <w:spacing w:val="0"/>
          <w:sz w:val="32"/>
          <w:szCs w:val="32"/>
          <w:shd w:val="clear" w:fill="FFFFFF"/>
        </w:rPr>
        <w:t>万元。主要原因是：</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财政专户管理经费</w:t>
      </w:r>
      <w:r>
        <w:rPr>
          <w:rFonts w:hint="eastAsia" w:ascii="仿宋" w:hAnsi="仿宋" w:eastAsia="仿宋" w:cs="仿宋"/>
          <w:sz w:val="32"/>
          <w:szCs w:val="32"/>
        </w:rPr>
        <w:t>中列支</w:t>
      </w:r>
      <w:r>
        <w:rPr>
          <w:rFonts w:hint="eastAsia" w:ascii="仿宋" w:hAnsi="仿宋" w:eastAsia="仿宋" w:cs="仿宋"/>
          <w:i w:val="0"/>
          <w:iCs w:val="0"/>
          <w:caps w:val="0"/>
          <w:color w:val="333333"/>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公务用车运行维护费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万元，较上年增</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主要原因：</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财政专户管理经费</w:t>
      </w:r>
      <w:r>
        <w:rPr>
          <w:rFonts w:hint="eastAsia" w:ascii="仿宋" w:hAnsi="仿宋" w:eastAsia="仿宋" w:cs="仿宋"/>
          <w:sz w:val="32"/>
          <w:szCs w:val="32"/>
        </w:rPr>
        <w:t>中列支</w:t>
      </w:r>
      <w:r>
        <w:rPr>
          <w:rFonts w:hint="eastAsia" w:ascii="仿宋" w:hAnsi="仿宋" w:eastAsia="仿宋" w:cs="仿宋"/>
          <w:i w:val="0"/>
          <w:iCs w:val="0"/>
          <w:caps w:val="0"/>
          <w:color w:val="000000"/>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公务用车购置费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万元，较上年增</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元。</w:t>
      </w:r>
      <w:r>
        <w:rPr>
          <w:rFonts w:hint="eastAsia" w:ascii="仿宋" w:hAnsi="仿宋" w:eastAsia="仿宋" w:cs="仿宋"/>
          <w:i w:val="0"/>
          <w:iCs w:val="0"/>
          <w:caps w:val="0"/>
          <w:color w:val="000000"/>
          <w:spacing w:val="0"/>
          <w:sz w:val="32"/>
          <w:szCs w:val="32"/>
          <w:shd w:val="clear" w:fill="FFFFFF"/>
        </w:rPr>
        <w:t>主要原因</w:t>
      </w:r>
      <w:r>
        <w:rPr>
          <w:rFonts w:hint="eastAsia" w:ascii="仿宋" w:hAnsi="仿宋" w:eastAsia="仿宋" w:cs="仿宋"/>
          <w:i w:val="0"/>
          <w:iCs w:val="0"/>
          <w:caps w:val="0"/>
          <w:color w:val="000000"/>
          <w:spacing w:val="0"/>
          <w:sz w:val="32"/>
          <w:szCs w:val="32"/>
          <w:shd w:val="clear" w:fill="FFFFFF"/>
          <w:lang w:val="en-US" w:eastAsia="zh-CN"/>
        </w:rPr>
        <w:t>是：</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财政专户管理经费</w:t>
      </w:r>
      <w:r>
        <w:rPr>
          <w:rFonts w:hint="eastAsia" w:ascii="仿宋" w:hAnsi="仿宋" w:eastAsia="仿宋" w:cs="仿宋"/>
          <w:sz w:val="32"/>
          <w:szCs w:val="32"/>
        </w:rPr>
        <w:t>中列支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ind w:firstLine="640" w:firstLineChars="200"/>
        <w:rPr>
          <w:rFonts w:hint="eastAsia" w:ascii="仿宋" w:hAnsi="仿宋" w:eastAsia="仿宋" w:cs="仿宋"/>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第四部分   名词解释</w:t>
      </w:r>
    </w:p>
    <w:p>
      <w:pPr>
        <w:rPr>
          <w:rFonts w:hint="eastAsia" w:ascii="仿宋" w:hAnsi="仿宋" w:eastAsia="仿宋" w:cs="仿宋"/>
          <w:b/>
          <w:bCs/>
          <w:sz w:val="32"/>
          <w:szCs w:val="32"/>
        </w:rPr>
      </w:pPr>
      <w:r>
        <w:rPr>
          <w:rFonts w:hint="eastAsia" w:ascii="仿宋" w:hAnsi="仿宋" w:eastAsia="仿宋" w:cs="仿宋"/>
          <w:b/>
          <w:bCs/>
          <w:sz w:val="32"/>
          <w:szCs w:val="32"/>
        </w:rPr>
        <w:t>一、收入科目</w:t>
      </w:r>
    </w:p>
    <w:p>
      <w:pPr>
        <w:rPr>
          <w:rFonts w:hint="eastAsia" w:ascii="仿宋" w:hAnsi="仿宋" w:eastAsia="仿宋" w:cs="仿宋"/>
          <w:sz w:val="32"/>
          <w:szCs w:val="32"/>
        </w:rPr>
      </w:pPr>
      <w:r>
        <w:rPr>
          <w:rFonts w:hint="eastAsia" w:ascii="仿宋" w:hAnsi="仿宋" w:eastAsia="仿宋" w:cs="仿宋"/>
          <w:sz w:val="32"/>
          <w:szCs w:val="32"/>
        </w:rPr>
        <w:t>（一）财政拨款：指省级财政当年拨付的资金。</w:t>
      </w:r>
    </w:p>
    <w:p>
      <w:pPr>
        <w:rPr>
          <w:rFonts w:hint="eastAsia" w:ascii="仿宋" w:hAnsi="仿宋" w:eastAsia="仿宋" w:cs="仿宋"/>
          <w:sz w:val="32"/>
          <w:szCs w:val="32"/>
        </w:rPr>
      </w:pPr>
      <w:r>
        <w:rPr>
          <w:rFonts w:hint="eastAsia" w:ascii="仿宋" w:hAnsi="仿宋" w:eastAsia="仿宋" w:cs="仿宋"/>
          <w:sz w:val="32"/>
          <w:szCs w:val="32"/>
        </w:rPr>
        <w:t>（二）教育收费资金收入：反映实行专项管理的高中以上学费、住宿费，高校委托培养费，函大、电大、夜大及短训班培训费等教育收费取得的收入。</w:t>
      </w:r>
    </w:p>
    <w:p>
      <w:pPr>
        <w:rPr>
          <w:rFonts w:hint="eastAsia" w:ascii="仿宋" w:hAnsi="仿宋" w:eastAsia="仿宋" w:cs="仿宋"/>
          <w:sz w:val="32"/>
          <w:szCs w:val="32"/>
        </w:rPr>
      </w:pPr>
      <w:r>
        <w:rPr>
          <w:rFonts w:hint="eastAsia" w:ascii="仿宋" w:hAnsi="仿宋" w:eastAsia="仿宋" w:cs="仿宋"/>
          <w:sz w:val="32"/>
          <w:szCs w:val="32"/>
        </w:rPr>
        <w:t>（三）事业收入：指事业单位开展专业业务活动及辅助活动取得的收入。</w:t>
      </w:r>
    </w:p>
    <w:p>
      <w:pPr>
        <w:rPr>
          <w:rFonts w:hint="eastAsia" w:ascii="仿宋" w:hAnsi="仿宋" w:eastAsia="仿宋" w:cs="仿宋"/>
          <w:sz w:val="32"/>
          <w:szCs w:val="32"/>
        </w:rPr>
      </w:pPr>
      <w:r>
        <w:rPr>
          <w:rFonts w:hint="eastAsia" w:ascii="仿宋" w:hAnsi="仿宋" w:eastAsia="仿宋" w:cs="仿宋"/>
          <w:sz w:val="32"/>
          <w:szCs w:val="32"/>
        </w:rPr>
        <w:t>（四）事业单位经营收入：指事业单位在专业业务活动及辅助活动之外开展非独立核算经营活动取得的收入。</w:t>
      </w:r>
    </w:p>
    <w:p>
      <w:pPr>
        <w:rPr>
          <w:rFonts w:hint="eastAsia" w:ascii="仿宋" w:hAnsi="仿宋" w:eastAsia="仿宋" w:cs="仿宋"/>
          <w:sz w:val="32"/>
          <w:szCs w:val="32"/>
        </w:rPr>
      </w:pPr>
      <w:r>
        <w:rPr>
          <w:rFonts w:hint="eastAsia" w:ascii="仿宋" w:hAnsi="仿宋" w:eastAsia="仿宋" w:cs="仿宋"/>
          <w:sz w:val="32"/>
          <w:szCs w:val="32"/>
        </w:rPr>
        <w:t>（五）附属单位上缴收入：反映事业单位附属的独立核算单位按规定标准或比例缴纳的各项收入。包括附属的事业单位上缴的收入和附属的企业上缴的利润等。</w:t>
      </w:r>
    </w:p>
    <w:p>
      <w:pPr>
        <w:rPr>
          <w:rFonts w:hint="eastAsia" w:ascii="仿宋" w:hAnsi="仿宋" w:eastAsia="仿宋" w:cs="仿宋"/>
          <w:sz w:val="32"/>
          <w:szCs w:val="32"/>
        </w:rPr>
      </w:pPr>
      <w:r>
        <w:rPr>
          <w:rFonts w:hint="eastAsia" w:ascii="仿宋" w:hAnsi="仿宋" w:eastAsia="仿宋" w:cs="仿宋"/>
          <w:sz w:val="32"/>
          <w:szCs w:val="32"/>
        </w:rPr>
        <w:t>（六）上级补助收入：反映事业单位从主管部门和上级单位取得的非财政补助收入。</w:t>
      </w:r>
    </w:p>
    <w:p>
      <w:pPr>
        <w:rPr>
          <w:rFonts w:hint="eastAsia" w:ascii="仿宋" w:hAnsi="仿宋" w:eastAsia="仿宋" w:cs="仿宋"/>
          <w:sz w:val="32"/>
          <w:szCs w:val="32"/>
        </w:rPr>
      </w:pPr>
      <w:r>
        <w:rPr>
          <w:rFonts w:hint="eastAsia" w:ascii="仿宋" w:hAnsi="仿宋" w:eastAsia="仿宋" w:cs="仿宋"/>
          <w:sz w:val="32"/>
          <w:szCs w:val="32"/>
        </w:rPr>
        <w:t>（七）其他收入：指除财政拨款、事业收入、事业单位经营收入等以外的各项收入。</w:t>
      </w:r>
    </w:p>
    <w:p>
      <w:pPr>
        <w:rPr>
          <w:rFonts w:hint="eastAsia" w:ascii="仿宋" w:hAnsi="仿宋" w:eastAsia="仿宋" w:cs="仿宋"/>
          <w:sz w:val="32"/>
          <w:szCs w:val="32"/>
        </w:rPr>
      </w:pPr>
      <w:r>
        <w:rPr>
          <w:rFonts w:hint="eastAsia" w:ascii="仿宋" w:hAnsi="仿宋" w:eastAsia="仿宋" w:cs="仿宋"/>
          <w:sz w:val="32"/>
          <w:szCs w:val="32"/>
        </w:rPr>
        <w:t>（八）使用非财政拨款结余：填列历年滚存的非限定用途的非统计财政拨款结余弥补202</w:t>
      </w:r>
      <w:r>
        <w:rPr>
          <w:rFonts w:hint="eastAsia" w:ascii="仿宋" w:hAnsi="仿宋" w:eastAsia="仿宋" w:cs="仿宋"/>
          <w:sz w:val="32"/>
          <w:szCs w:val="32"/>
          <w:lang w:val="en-US" w:eastAsia="zh-CN"/>
        </w:rPr>
        <w:t>3</w:t>
      </w:r>
      <w:r>
        <w:rPr>
          <w:rFonts w:hint="eastAsia" w:ascii="仿宋" w:hAnsi="仿宋" w:eastAsia="仿宋" w:cs="仿宋"/>
          <w:sz w:val="32"/>
          <w:szCs w:val="32"/>
        </w:rPr>
        <w:t>年收支差额的数额。</w:t>
      </w:r>
    </w:p>
    <w:p>
      <w:pPr>
        <w:rPr>
          <w:rFonts w:hint="eastAsia" w:ascii="仿宋" w:hAnsi="仿宋" w:eastAsia="仿宋" w:cs="仿宋"/>
          <w:sz w:val="32"/>
          <w:szCs w:val="32"/>
        </w:rPr>
      </w:pPr>
      <w:r>
        <w:rPr>
          <w:rFonts w:hint="eastAsia" w:ascii="仿宋" w:hAnsi="仿宋" w:eastAsia="仿宋" w:cs="仿宋"/>
          <w:sz w:val="32"/>
          <w:szCs w:val="32"/>
        </w:rPr>
        <w:t>（九）上年结转和结余：填列202</w:t>
      </w:r>
      <w:r>
        <w:rPr>
          <w:rFonts w:hint="eastAsia" w:ascii="仿宋" w:hAnsi="仿宋" w:eastAsia="仿宋" w:cs="仿宋"/>
          <w:sz w:val="32"/>
          <w:szCs w:val="32"/>
          <w:lang w:val="en-US" w:eastAsia="zh-CN"/>
        </w:rPr>
        <w:t>2</w:t>
      </w:r>
      <w:r>
        <w:rPr>
          <w:rFonts w:hint="eastAsia" w:ascii="仿宋" w:hAnsi="仿宋" w:eastAsia="仿宋" w:cs="仿宋"/>
          <w:sz w:val="32"/>
          <w:szCs w:val="32"/>
        </w:rPr>
        <w:t>年全部结转和结余的资金数，包括当年结转结余资金和历年滚存结转结余资金。</w:t>
      </w:r>
    </w:p>
    <w:p>
      <w:pPr>
        <w:rPr>
          <w:rFonts w:hint="eastAsia" w:ascii="仿宋" w:hAnsi="仿宋" w:eastAsia="仿宋" w:cs="仿宋"/>
          <w:b/>
          <w:bCs/>
          <w:sz w:val="32"/>
          <w:szCs w:val="32"/>
        </w:rPr>
      </w:pPr>
      <w:r>
        <w:rPr>
          <w:rFonts w:hint="eastAsia" w:ascii="仿宋" w:hAnsi="仿宋" w:eastAsia="仿宋" w:cs="仿宋"/>
          <w:b/>
          <w:bCs/>
          <w:sz w:val="32"/>
          <w:szCs w:val="32"/>
        </w:rPr>
        <w:t>二、支出科目</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高等教育：反映各部门举办的普通本科教育支出。政府各部门对社会组织等举办的普通本科高等院校的资助，如捐赠、补贴等，也在本科目中反映。</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三、相关专业名词</w:t>
      </w:r>
    </w:p>
    <w:p>
      <w:pPr>
        <w:ind w:firstLine="320" w:firstLineChars="100"/>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rPr>
        <w:t>机关运行经费支出：</w:t>
      </w:r>
      <w:r>
        <w:rPr>
          <w:rFonts w:hint="eastAsia" w:ascii="仿宋" w:hAnsi="仿宋" w:eastAsia="仿宋"/>
          <w:sz w:val="32"/>
          <w:szCs w:val="32"/>
          <w:lang w:val="en-US" w:eastAsia="zh-CN"/>
        </w:rPr>
        <w:t>指用财政拨款安排的</w:t>
      </w:r>
      <w:r>
        <w:rPr>
          <w:rFonts w:hint="eastAsia" w:ascii="仿宋" w:hAnsi="仿宋" w:eastAsia="仿宋"/>
          <w:sz w:val="32"/>
          <w:szCs w:val="32"/>
        </w:rPr>
        <w:t>包括行政单位和参照公务员法管理事业单位</w:t>
      </w:r>
      <w:r>
        <w:rPr>
          <w:rFonts w:hint="eastAsia" w:ascii="仿宋" w:hAnsi="仿宋" w:eastAsia="仿宋"/>
          <w:sz w:val="32"/>
          <w:szCs w:val="32"/>
          <w:lang w:eastAsia="zh-CN"/>
        </w:rPr>
        <w:t>）</w:t>
      </w:r>
      <w:r>
        <w:rPr>
          <w:rFonts w:hint="eastAsia" w:ascii="仿宋" w:hAnsi="仿宋" w:eastAsia="仿宋"/>
          <w:sz w:val="32"/>
          <w:szCs w:val="32"/>
          <w:lang w:val="en-US" w:eastAsia="zh-CN"/>
        </w:rPr>
        <w:t>运行用于购买货物和服务的各项资金，包括办公费、印刷费、邮电费、差旅费、会议费、福利费、日常维修费、专用材料及一般设备购置费、办公用房水电费、办公用房取暖费、办公用房物业费、公务用车运行维护费以及其他费用。</w:t>
      </w:r>
    </w:p>
    <w:p>
      <w:pPr>
        <w:ind w:firstLine="320" w:firstLineChars="100"/>
        <w:rPr>
          <w:rFonts w:hint="default"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rPr>
        <w:t>“三公”经费支出:</w:t>
      </w:r>
      <w:r>
        <w:rPr>
          <w:rFonts w:hint="eastAsia" w:ascii="仿宋" w:hAnsi="仿宋" w:eastAsia="仿宋"/>
          <w:sz w:val="32"/>
          <w:szCs w:val="32"/>
          <w:lang w:val="en-US" w:eastAsia="zh-CN"/>
        </w:rPr>
        <w:t>指用财政拨款安排的因公出国（境）费、</w:t>
      </w:r>
      <w:r>
        <w:rPr>
          <w:rFonts w:hint="eastAsia" w:ascii="仿宋" w:hAnsi="仿宋" w:eastAsia="仿宋"/>
          <w:sz w:val="32"/>
          <w:szCs w:val="32"/>
        </w:rPr>
        <w:t>公务用车购置及运行维护费</w:t>
      </w:r>
      <w:r>
        <w:rPr>
          <w:rFonts w:hint="eastAsia" w:ascii="仿宋" w:hAnsi="仿宋" w:eastAsia="仿宋"/>
          <w:sz w:val="32"/>
          <w:szCs w:val="32"/>
          <w:lang w:val="en-US" w:eastAsia="zh-CN"/>
        </w:rPr>
        <w:t>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r>
        <w:rPr>
          <w:rFonts w:hint="eastAsia" w:ascii="仿宋" w:hAnsi="仿宋" w:eastAsia="仿宋"/>
          <w:sz w:val="32"/>
          <w:szCs w:val="32"/>
        </w:rPr>
        <w:t>。</w:t>
      </w:r>
    </w:p>
    <w:p>
      <w:pPr>
        <w:ind w:firstLine="320" w:firstLineChars="100"/>
        <w:rPr>
          <w:rFonts w:hint="eastAsia" w:ascii="仿宋" w:hAnsi="仿宋" w:eastAsia="仿宋"/>
          <w:sz w:val="32"/>
          <w:szCs w:val="32"/>
        </w:rPr>
      </w:pPr>
    </w:p>
    <w:p>
      <w:pPr>
        <w:rPr>
          <w:rFonts w:hint="eastAsia" w:ascii="仿宋" w:hAnsi="仿宋" w:eastAsia="仿宋" w:cs="仿宋"/>
          <w:sz w:val="32"/>
          <w:szCs w:val="32"/>
        </w:rPr>
      </w:pPr>
    </w:p>
    <w:p>
      <w:pPr>
        <w:rPr>
          <w:rFonts w:hint="default"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其他支出（类、款、项）：反映上述项目以外其他不能划分到具体功能科目中的支出项目。</w:t>
      </w:r>
    </w:p>
    <w:p>
      <w:pPr>
        <w:rPr>
          <w:rFonts w:hint="default"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“三公”经费支出:因公出国（境）支出,公务接待费支出和公务用车购置及运行维护费支出。</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机关运行经费支出：包括行政单位和参照公务员法管理事业单位一般公共预算财政拨款基本支出的公用经费。</w:t>
      </w:r>
    </w:p>
    <w:p>
      <w:pPr>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BA00E"/>
    <w:multiLevelType w:val="singleLevel"/>
    <w:tmpl w:val="DFDBA00E"/>
    <w:lvl w:ilvl="0" w:tentative="0">
      <w:start w:val="2"/>
      <w:numFmt w:val="decimal"/>
      <w:suff w:val="nothing"/>
      <w:lvlText w:val="%1）"/>
      <w:lvlJc w:val="left"/>
      <w:pPr>
        <w:ind w:left="630" w:leftChars="0" w:firstLine="0" w:firstLineChars="0"/>
      </w:pPr>
    </w:lvl>
  </w:abstractNum>
  <w:abstractNum w:abstractNumId="1">
    <w:nsid w:val="E6669803"/>
    <w:multiLevelType w:val="singleLevel"/>
    <w:tmpl w:val="E6669803"/>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ZjY1NjIwMDI3MWM3N2Q1N2FiODI5MWM1MDExM2MifQ=="/>
  </w:docVars>
  <w:rsids>
    <w:rsidRoot w:val="00066B07"/>
    <w:rsid w:val="00066B07"/>
    <w:rsid w:val="00F12DE1"/>
    <w:rsid w:val="03F06F83"/>
    <w:rsid w:val="0BAB261E"/>
    <w:rsid w:val="0D437D16"/>
    <w:rsid w:val="0F9707E2"/>
    <w:rsid w:val="100A2C0D"/>
    <w:rsid w:val="106B6053"/>
    <w:rsid w:val="107D4777"/>
    <w:rsid w:val="12020008"/>
    <w:rsid w:val="16FF7185"/>
    <w:rsid w:val="18573B92"/>
    <w:rsid w:val="18C161BC"/>
    <w:rsid w:val="1C08205D"/>
    <w:rsid w:val="267E4D1B"/>
    <w:rsid w:val="29211FF6"/>
    <w:rsid w:val="2BB31593"/>
    <w:rsid w:val="2D3B0329"/>
    <w:rsid w:val="2D70060C"/>
    <w:rsid w:val="32E62185"/>
    <w:rsid w:val="372C69A3"/>
    <w:rsid w:val="37C7382B"/>
    <w:rsid w:val="38772537"/>
    <w:rsid w:val="399B24B6"/>
    <w:rsid w:val="3B5758A5"/>
    <w:rsid w:val="3C960E68"/>
    <w:rsid w:val="3EC039A0"/>
    <w:rsid w:val="402E7E68"/>
    <w:rsid w:val="425F54DA"/>
    <w:rsid w:val="430009F4"/>
    <w:rsid w:val="47754A1A"/>
    <w:rsid w:val="49383EDE"/>
    <w:rsid w:val="4ABC308B"/>
    <w:rsid w:val="512D2970"/>
    <w:rsid w:val="56C51FCC"/>
    <w:rsid w:val="56F44FA2"/>
    <w:rsid w:val="581F29DF"/>
    <w:rsid w:val="5CAE03A8"/>
    <w:rsid w:val="5D0E0132"/>
    <w:rsid w:val="61917176"/>
    <w:rsid w:val="62E625C6"/>
    <w:rsid w:val="668B7A23"/>
    <w:rsid w:val="68064189"/>
    <w:rsid w:val="6A5840FC"/>
    <w:rsid w:val="6AFC0CE3"/>
    <w:rsid w:val="70044C9F"/>
    <w:rsid w:val="789166F1"/>
    <w:rsid w:val="7997597B"/>
    <w:rsid w:val="7A3F3546"/>
    <w:rsid w:val="7A8A3F7E"/>
    <w:rsid w:val="7C750EC4"/>
    <w:rsid w:val="7CF6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toc 5"/>
    <w:basedOn w:val="1"/>
    <w:next w:val="1"/>
    <w:qFormat/>
    <w:uiPriority w:val="0"/>
    <w:pPr>
      <w:wordWrap w:val="0"/>
      <w:ind w:left="1275"/>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row_tree_level_4"/>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3019</Words>
  <Characters>3348</Characters>
  <Lines>16</Lines>
  <Paragraphs>4</Paragraphs>
  <TotalTime>20</TotalTime>
  <ScaleCrop>false</ScaleCrop>
  <LinksUpToDate>false</LinksUpToDate>
  <CharactersWithSpaces>3417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2023-01-29T14:06:00Z</dcterms:created>
  <dc:creator>chasheng jian</dc:creator>
  <cp:lastModifiedBy>汪晓华</cp:lastModifiedBy>
  <dcterms:modified xsi:type="dcterms:W3CDTF">2025-02-17T08:25:19Z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C70765DD1EA84D7D857CF7EF6FB3FA5A</vt:lpwstr>
  </property>
</Properties>
</file>