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
        <w:rPr>
          <w:rFonts w:ascii="黑体"/>
          <w:sz w:val="45"/>
        </w:rPr>
      </w:pPr>
    </w:p>
    <w:p>
      <w:pPr>
        <w:pStyle w:val="4"/>
      </w:pPr>
      <w:r>
        <w:rPr>
          <w:rFonts w:hint="eastAsia"/>
          <w:lang w:val="en-US" w:eastAsia="zh-CN"/>
        </w:rPr>
        <w:t>新余学院</w:t>
      </w:r>
      <w:r>
        <w:t>部门绩效报告</w:t>
      </w:r>
    </w:p>
    <w:p>
      <w:pPr>
        <w:pStyle w:val="2"/>
        <w:tabs>
          <w:tab w:val="left" w:pos="1057"/>
        </w:tabs>
        <w:spacing w:before="120"/>
        <w:ind w:left="97"/>
        <w:jc w:val="center"/>
        <w:rPr>
          <w:rFonts w:hint="eastAsia" w:ascii="楷体" w:eastAsia="楷体"/>
        </w:rPr>
      </w:pPr>
      <w:r>
        <w:rPr>
          <w:rFonts w:hint="eastAsia" w:ascii="楷体" w:eastAsia="楷体"/>
          <w:lang w:val="en-US" w:eastAsia="zh-CN"/>
        </w:rPr>
        <w:t>（2023</w:t>
      </w:r>
      <w:r>
        <w:rPr>
          <w:rFonts w:hint="eastAsia" w:ascii="楷体" w:eastAsia="楷体"/>
        </w:rPr>
        <w:t>年度）</w:t>
      </w:r>
    </w:p>
    <w:p>
      <w:pPr>
        <w:pStyle w:val="2"/>
        <w:rPr>
          <w:rFonts w:ascii="楷体"/>
        </w:rPr>
      </w:pPr>
    </w:p>
    <w:p>
      <w:pPr>
        <w:pStyle w:val="2"/>
        <w:spacing w:before="4"/>
        <w:rPr>
          <w:rFonts w:ascii="楷体"/>
          <w:sz w:val="23"/>
        </w:rPr>
      </w:pPr>
    </w:p>
    <w:p>
      <w:pPr>
        <w:pStyle w:val="2"/>
        <w:ind w:left="1000"/>
        <w:rPr>
          <w:rFonts w:hint="eastAsia" w:ascii="黑体" w:eastAsia="黑体"/>
        </w:rPr>
      </w:pPr>
      <w:r>
        <w:rPr>
          <w:rFonts w:hint="eastAsia" w:ascii="黑体" w:eastAsia="黑体"/>
        </w:rPr>
        <w:t>一、部门概况</w:t>
      </w:r>
    </w:p>
    <w:p>
      <w:pPr>
        <w:pStyle w:val="2"/>
        <w:spacing w:before="3"/>
        <w:ind w:firstLine="640" w:firstLineChars="200"/>
        <w:rPr>
          <w:rFonts w:hint="eastAsia" w:ascii="宋体" w:hAnsi="宋体" w:eastAsia="宋体" w:cs="宋体"/>
        </w:rPr>
      </w:pPr>
      <w:r>
        <w:rPr>
          <w:rFonts w:hint="eastAsia" w:ascii="宋体" w:hAnsi="宋体" w:eastAsia="宋体" w:cs="宋体"/>
        </w:rPr>
        <w:t>（一）部门主要职责职能，组织架构、人员及资产等基本情况。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部门主要职责职能：培养高等学历人才，促进科技文化发展，工学类、理学类、文学类、经济学类、教育学类、医学类等学历人才，为地方经济文化建设提供人才支撑。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本部门是培养高等教育学历人才的本科院校。学校现有十三个二级学院、一所附属小学,其中附属小学(新余市逸夫小学)为独立核算单位。</w:t>
      </w:r>
    </w:p>
    <w:p>
      <w:pPr>
        <w:pStyle w:val="2"/>
        <w:spacing w:before="3"/>
        <w:ind w:firstLine="640" w:firstLineChars="200"/>
      </w:pPr>
      <w:r>
        <w:t>（二）当年部门履职总体目标、工作任务。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w:t>
      </w:r>
      <w:bookmarkStart w:id="0" w:name="_GoBack"/>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w:t>
      </w:r>
      <w:r>
        <w:rPr>
          <w:rFonts w:hint="eastAsia" w:ascii="仿宋_GB2312" w:hAnsi="仿宋_GB2312" w:eastAsia="仿宋_GB2312" w:cs="仿宋_GB2312"/>
          <w:color w:val="000000" w:themeColor="text1"/>
          <w:sz w:val="32"/>
          <w:szCs w:val="32"/>
          <w14:textFill>
            <w14:solidFill>
              <w14:schemeClr w14:val="tx1"/>
            </w14:solidFill>
          </w14:textFill>
        </w:rPr>
        <w:t>学校工作总的指导思想和总体要求是：坚持以习近平新时代中国特色社会主义思想为指导，深入贯彻</w:t>
      </w:r>
      <w:r>
        <w:rPr>
          <w:rFonts w:hint="eastAsia" w:ascii="仿宋_GB2312" w:hAnsi="仿宋_GB2312" w:eastAsia="仿宋_GB2312" w:cs="仿宋_GB2312"/>
          <w:color w:val="000000" w:themeColor="text1"/>
          <w:sz w:val="32"/>
          <w:szCs w:val="32"/>
          <w:lang w:eastAsia="zh-CN"/>
          <w14:textFill>
            <w14:solidFill>
              <w14:schemeClr w14:val="tx1"/>
            </w14:solidFill>
          </w14:textFill>
        </w:rPr>
        <w:t>党的二十大精神，认真</w:t>
      </w:r>
      <w:r>
        <w:rPr>
          <w:rFonts w:hint="eastAsia" w:ascii="仿宋_GB2312" w:hAnsi="仿宋_GB2312" w:eastAsia="仿宋_GB2312" w:cs="仿宋_GB2312"/>
          <w:color w:val="000000" w:themeColor="text1"/>
          <w:sz w:val="32"/>
          <w:szCs w:val="32"/>
          <w14:textFill>
            <w14:solidFill>
              <w14:schemeClr w14:val="tx1"/>
            </w14:solidFill>
          </w14:textFill>
        </w:rPr>
        <w:t>落实习近平总书记关于教育的重要论述和视察江西重要讲话精神，</w:t>
      </w:r>
      <w:r>
        <w:rPr>
          <w:rFonts w:hint="eastAsia" w:ascii="仿宋_GB2312" w:hAnsi="仿宋_GB2312" w:eastAsia="仿宋_GB2312" w:cs="仿宋_GB2312"/>
          <w:color w:val="000000" w:themeColor="text1"/>
          <w:sz w:val="32"/>
          <w:szCs w:val="32"/>
          <w:lang w:eastAsia="zh-CN"/>
          <w14:textFill>
            <w14:solidFill>
              <w14:schemeClr w14:val="tx1"/>
            </w14:solidFill>
          </w14:textFill>
        </w:rPr>
        <w:t>聚焦“作示范、勇争先”的目标要求，</w:t>
      </w:r>
      <w:r>
        <w:rPr>
          <w:rFonts w:hint="eastAsia" w:ascii="仿宋_GB2312" w:hAnsi="仿宋_GB2312" w:eastAsia="仿宋_GB2312" w:cs="仿宋_GB2312"/>
          <w:color w:val="000000" w:themeColor="text1"/>
          <w:sz w:val="32"/>
          <w:szCs w:val="32"/>
          <w14:textFill>
            <w14:solidFill>
              <w14:schemeClr w14:val="tx1"/>
            </w14:solidFill>
          </w14:textFill>
        </w:rPr>
        <w:t>认真落实省</w:t>
      </w:r>
      <w:r>
        <w:rPr>
          <w:rFonts w:hint="eastAsia" w:ascii="仿宋_GB2312" w:hAnsi="仿宋_GB2312" w:eastAsia="仿宋_GB2312" w:cs="仿宋_GB2312"/>
          <w:color w:val="000000" w:themeColor="text1"/>
          <w:sz w:val="32"/>
          <w:szCs w:val="32"/>
          <w:lang w:eastAsia="zh-CN"/>
          <w14:textFill>
            <w14:solidFill>
              <w14:schemeClr w14:val="tx1"/>
            </w14:solidFill>
          </w14:textFill>
        </w:rPr>
        <w:t>第十五次党代会</w:t>
      </w:r>
      <w:r>
        <w:rPr>
          <w:rFonts w:hint="eastAsia" w:ascii="仿宋_GB2312" w:hAnsi="仿宋_GB2312" w:eastAsia="仿宋_GB2312" w:cs="仿宋_GB2312"/>
          <w:color w:val="000000" w:themeColor="text1"/>
          <w:sz w:val="32"/>
          <w:szCs w:val="32"/>
          <w14:textFill>
            <w14:solidFill>
              <w14:schemeClr w14:val="tx1"/>
            </w14:solidFill>
          </w14:textFill>
        </w:rPr>
        <w:t>和市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第九</w:t>
      </w:r>
      <w:r>
        <w:rPr>
          <w:rFonts w:hint="eastAsia" w:ascii="仿宋_GB2312" w:hAnsi="仿宋_GB2312" w:eastAsia="仿宋_GB2312" w:cs="仿宋_GB2312"/>
          <w:color w:val="000000" w:themeColor="text1"/>
          <w:sz w:val="32"/>
          <w:szCs w:val="32"/>
          <w:lang w:eastAsia="zh-CN"/>
          <w14:textFill>
            <w14:solidFill>
              <w14:schemeClr w14:val="tx1"/>
            </w14:solidFill>
          </w14:textFill>
        </w:rPr>
        <w:t>次党代会</w:t>
      </w:r>
      <w:r>
        <w:rPr>
          <w:rFonts w:hint="eastAsia" w:ascii="仿宋_GB2312" w:hAnsi="仿宋_GB2312" w:eastAsia="仿宋_GB2312" w:cs="仿宋_GB2312"/>
          <w:color w:val="000000" w:themeColor="text1"/>
          <w:sz w:val="32"/>
          <w:szCs w:val="32"/>
          <w14:textFill>
            <w14:solidFill>
              <w14:schemeClr w14:val="tx1"/>
            </w14:solidFill>
          </w14:textFill>
        </w:rPr>
        <w:t>精神，立足新发展阶段，贯彻新发展理念，服务新发展格局，坚持和加强党对学校工作的全面领导，坚持内涵发展战略，落实立德树人根本任务，不断推进学校治理体系和治理能力现代化，建设特色鲜明的高水平应用型本科院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14:textFill>
            <w14:solidFill>
              <w14:schemeClr w14:val="tx1"/>
            </w14:solidFill>
          </w14:textFill>
        </w:rPr>
        <w:t>全面从严治党</w:t>
      </w:r>
      <w:r>
        <w:rPr>
          <w:rFonts w:hint="eastAsia" w:ascii="仿宋_GB2312" w:hAnsi="仿宋_GB2312" w:eastAsia="仿宋_GB2312" w:cs="仿宋_GB2312"/>
          <w:color w:val="000000" w:themeColor="text1"/>
          <w:sz w:val="32"/>
          <w:szCs w:val="32"/>
          <w:lang w:eastAsia="zh-CN"/>
          <w14:textFill>
            <w14:solidFill>
              <w14:schemeClr w14:val="tx1"/>
            </w14:solidFill>
          </w14:textFill>
        </w:rPr>
        <w:t>，扎实推进“四责协同”</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二、深化理论武装，坚定捍卫“两个确立”。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三、加强思政教育，</w:t>
      </w:r>
      <w:r>
        <w:rPr>
          <w:rFonts w:hint="eastAsia" w:ascii="仿宋_GB2312" w:hAnsi="仿宋_GB2312" w:eastAsia="仿宋_GB2312" w:cs="仿宋_GB2312"/>
          <w:color w:val="000000" w:themeColor="text1"/>
          <w:sz w:val="32"/>
          <w:szCs w:val="32"/>
          <w:lang w:eastAsia="zh-CN"/>
          <w14:textFill>
            <w14:solidFill>
              <w14:schemeClr w14:val="tx1"/>
            </w14:solidFill>
          </w14:textFill>
        </w:rPr>
        <w:t>增强针对性实效性。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四、强化工作责任制，把牢意识形态领导权。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五、坚持党建引领，确保全面进步全面过硬。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六、抓好平安校园建设，确保校园安全稳定。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七、推进人才制度改革，全面提升师资队伍水平。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八、打造核心竞争力，持续提升教学质量和水平。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九、坚持科研强校理念，持续提升科研能力和水平。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十、主动融入大局，提升服务地方经济社会发展水平。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十一、做好保障工作，促进学校高质量发展。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（三）当年部门年度整体支出绩效目标。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新余学院整体支出绩效指标共设立3个一级指标，分别为产出指标、效益指标、满意度指标；共设立9个二级指标，分别为数量指标、质量指标、时效指标、成本指标、经济效益指标、社会效益指标、生态效益指标、可持续影响指标、满意度指标。</w:t>
      </w:r>
    </w:p>
    <w:p>
      <w:pPr>
        <w:pStyle w:val="2"/>
        <w:spacing w:before="3"/>
        <w:ind w:firstLine="640" w:firstLineChars="200"/>
      </w:pPr>
      <w:r>
        <w:rPr>
          <w:rFonts w:hint="eastAsia"/>
          <w:lang w:eastAsia="zh-CN"/>
        </w:rPr>
        <w:t>（</w:t>
      </w:r>
      <w:r>
        <w:rPr>
          <w:rFonts w:hint="eastAsia"/>
          <w:lang w:val="en-US" w:eastAsia="zh-CN"/>
        </w:rPr>
        <w:t>四）</w:t>
      </w:r>
      <w:r>
        <w:t>部门预算绩效管理开展情况。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严格落实财政预算绩效管理相关要求，成立了预算绩效管理工作领导小组，拟定了《预算绩效管理相关制度》。对202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4年预算编制整体支出和项目支出进行了事前绩效评估，认真做好各季度绩效运行监控，对绩效目标实现程度和预算执行进度实行了“双监控”，对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本年度整体支出和项目支出绩效开展自评和公开。</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教学建设亮点进一步显现。</w:t>
      </w:r>
      <w:r>
        <w:rPr>
          <w:rFonts w:hint="eastAsia" w:ascii="仿宋_GB2312" w:hAnsi="仿宋_GB2312" w:eastAsia="仿宋_GB2312" w:cs="仿宋_GB2312"/>
          <w:color w:val="000000" w:themeColor="text1"/>
          <w:sz w:val="32"/>
          <w:szCs w:val="32"/>
          <w14:textFill>
            <w14:solidFill>
              <w14:schemeClr w14:val="tx1"/>
            </w14:solidFill>
          </w14:textFill>
        </w:rPr>
        <w:t>在全省第二轮专业综合评价中1个专业排名全省第一，12个专业排名前50%</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电气工程及其自动化和电子信息工程2个专业增列为省级一流专业。</w:t>
      </w:r>
      <w:r>
        <w:rPr>
          <w:rFonts w:hint="eastAsia" w:ascii="仿宋_GB2312" w:hAnsi="仿宋_GB2312" w:eastAsia="仿宋_GB2312" w:cs="仿宋_GB2312"/>
          <w:color w:val="000000" w:themeColor="text1"/>
          <w:sz w:val="32"/>
          <w:szCs w:val="32"/>
          <w:lang w:eastAsia="zh-CN"/>
          <w14:textFill>
            <w14:solidFill>
              <w14:schemeClr w14:val="tx1"/>
            </w14:solidFill>
          </w14:textFill>
        </w:rPr>
        <w:t>新能源科学与工程专业入选江西省普通高等学校本科四星级专业点。获批省级教改课题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25项（重点项目4项），</w:t>
      </w:r>
      <w:r>
        <w:rPr>
          <w:rFonts w:hint="eastAsia" w:ascii="仿宋_GB2312" w:hAnsi="仿宋_GB2312" w:eastAsia="仿宋_GB2312" w:cs="仿宋_GB2312"/>
          <w:color w:val="000000" w:themeColor="text1"/>
          <w:sz w:val="32"/>
          <w:szCs w:val="32"/>
          <w:lang w:eastAsia="zh-CN"/>
          <w14:textFill>
            <w14:solidFill>
              <w14:schemeClr w14:val="tx1"/>
            </w14:solidFill>
          </w14:textFill>
        </w:rPr>
        <w:t>立项总数、重点项目数较上年翻番，取得了历史性突破。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获批</w:t>
      </w:r>
      <w:r>
        <w:rPr>
          <w:rFonts w:hint="eastAsia" w:ascii="仿宋_GB2312" w:hAnsi="仿宋_GB2312" w:eastAsia="仿宋_GB2312" w:cs="仿宋_GB2312"/>
          <w:color w:val="000000" w:themeColor="text1"/>
          <w:sz w:val="32"/>
          <w:szCs w:val="32"/>
          <w:lang w:eastAsia="zh-CN"/>
          <w14:textFill>
            <w14:solidFill>
              <w14:schemeClr w14:val="tx1"/>
            </w14:solidFill>
          </w14:textFill>
        </w:rPr>
        <w:t>省级课程思政示范课程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3门。</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科研工作与服务地方进一步加速。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获批江西省房地产建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筑产业科技创新</w:t>
      </w:r>
      <w:r>
        <w:rPr>
          <w:rFonts w:hint="eastAsia" w:ascii="仿宋_GB2312" w:hAnsi="仿宋_GB2312" w:eastAsia="仿宋_GB2312" w:cs="仿宋_GB2312"/>
          <w:color w:val="000000" w:themeColor="text1"/>
          <w:sz w:val="32"/>
          <w:szCs w:val="32"/>
          <w:lang w:eastAsia="zh-CN"/>
          <w14:textFill>
            <w14:solidFill>
              <w14:schemeClr w14:val="tx1"/>
            </w14:solidFill>
          </w14:textFill>
        </w:rPr>
        <w:t>联合体，并以此立项省重大科技研发计划协同创新项目和省重点科技研发计划单点突破项目各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1项，获得专项经费600万元，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实现了我校纵向科研项目一次性全额资助经费的历史新高。获得各级各类立项资助纵向项目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140</w:t>
      </w:r>
      <w:r>
        <w:rPr>
          <w:rFonts w:hint="eastAsia" w:ascii="仿宋_GB2312" w:hAnsi="仿宋_GB2312" w:eastAsia="仿宋_GB2312" w:cs="仿宋_GB2312"/>
          <w:color w:val="000000" w:themeColor="text1"/>
          <w:sz w:val="32"/>
          <w:szCs w:val="32"/>
          <w:lang w:eastAsia="zh-CN"/>
          <w14:textFill>
            <w14:solidFill>
              <w14:schemeClr w14:val="tx1"/>
            </w14:solidFill>
          </w14:textFill>
        </w:rPr>
        <w:t>项，其中省部级项目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64</w:t>
      </w:r>
      <w:r>
        <w:rPr>
          <w:rFonts w:hint="eastAsia" w:ascii="仿宋_GB2312" w:hAnsi="仿宋_GB2312" w:eastAsia="仿宋_GB2312" w:cs="仿宋_GB2312"/>
          <w:color w:val="000000" w:themeColor="text1"/>
          <w:sz w:val="32"/>
          <w:szCs w:val="32"/>
          <w:lang w:eastAsia="zh-CN"/>
          <w14:textFill>
            <w14:solidFill>
              <w14:schemeClr w14:val="tx1"/>
            </w14:solidFill>
          </w14:textFill>
        </w:rPr>
        <w:t>项。发表北大核心以上各级各类科研论文108篇，获得各类专利授权85件，出版学术著作13部，获得江西省科技进步三等奖1项；获中国发明协会专利奖一等奖1项。学校牵头组建的“江西省智能建造产业技术创新战略联盟”获江西省科学技术厅批准成立，成为我校首个牵头成立的省级产业技术创新战略联盟。</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3" w:firstLineChars="200"/>
        <w:textAlignment w:val="auto"/>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3、人才培养质量进一步提档。</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在第八届江西省“互联网＋”大学生创新创业</w:t>
      </w:r>
      <w:r>
        <w:rPr>
          <w:rFonts w:hint="eastAsia" w:ascii="仿宋_GB2312" w:hAnsi="仿宋_GB2312" w:eastAsia="仿宋_GB2312" w:cs="仿宋_GB2312"/>
          <w:color w:val="000000" w:themeColor="text1"/>
          <w:sz w:val="32"/>
          <w:szCs w:val="32"/>
          <w14:textFill>
            <w14:solidFill>
              <w14:schemeClr w14:val="tx1"/>
            </w14:solidFill>
          </w14:textFill>
        </w:rPr>
        <w:t>大赛</w:t>
      </w:r>
      <w:r>
        <w:rPr>
          <w:rFonts w:hint="eastAsia" w:ascii="仿宋_GB2312" w:hAnsi="仿宋_GB2312" w:eastAsia="仿宋_GB2312" w:cs="仿宋_GB2312"/>
          <w:color w:val="000000" w:themeColor="text1"/>
          <w:sz w:val="32"/>
          <w:szCs w:val="32"/>
          <w:lang w:eastAsia="zh-CN"/>
          <w14:textFill>
            <w14:solidFill>
              <w14:schemeClr w14:val="tx1"/>
            </w14:solidFill>
          </w14:textFill>
        </w:rPr>
        <w:t>中</w:t>
      </w:r>
      <w:r>
        <w:rPr>
          <w:rFonts w:hint="eastAsia" w:ascii="仿宋_GB2312" w:hAnsi="仿宋_GB2312" w:eastAsia="仿宋_GB2312" w:cs="仿宋_GB2312"/>
          <w:color w:val="000000" w:themeColor="text1"/>
          <w:sz w:val="32"/>
          <w:szCs w:val="32"/>
          <w14:textFill>
            <w14:solidFill>
              <w14:schemeClr w14:val="tx1"/>
            </w14:solidFill>
          </w14:textFill>
        </w:rPr>
        <w:t>，共获得二银七铜的历史性</w:t>
      </w:r>
      <w:r>
        <w:rPr>
          <w:rFonts w:hint="eastAsia" w:ascii="仿宋_GB2312" w:hAnsi="仿宋_GB2312" w:eastAsia="仿宋_GB2312" w:cs="仿宋_GB2312"/>
          <w:color w:val="000000" w:themeColor="text1"/>
          <w:sz w:val="32"/>
          <w:szCs w:val="32"/>
          <w:lang w:eastAsia="zh-CN"/>
          <w14:textFill>
            <w14:solidFill>
              <w14:schemeClr w14:val="tx1"/>
            </w14:solidFill>
          </w14:textFill>
        </w:rPr>
        <w:t>最</w:t>
      </w:r>
      <w:r>
        <w:rPr>
          <w:rFonts w:hint="eastAsia" w:ascii="仿宋_GB2312" w:hAnsi="仿宋_GB2312" w:eastAsia="仿宋_GB2312" w:cs="仿宋_GB2312"/>
          <w:color w:val="000000" w:themeColor="text1"/>
          <w:sz w:val="32"/>
          <w:szCs w:val="32"/>
          <w14:textFill>
            <w14:solidFill>
              <w14:schemeClr w14:val="tx1"/>
            </w14:solidFill>
          </w14:textFill>
        </w:rPr>
        <w:t>好成绩</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并首次在全部赛道获奖，在同层次本科院校中名列前茅。</w:t>
      </w:r>
      <w:r>
        <w:rPr>
          <w:rFonts w:hint="eastAsia" w:ascii="仿宋_GB2312" w:hAnsi="仿宋_GB2312" w:eastAsia="仿宋_GB2312" w:cs="仿宋_GB2312"/>
          <w:color w:val="000000" w:themeColor="text1"/>
          <w:sz w:val="32"/>
          <w:szCs w:val="32"/>
          <w:lang w:eastAsia="zh-CN"/>
          <w14:textFill>
            <w14:solidFill>
              <w14:schemeClr w14:val="tx1"/>
            </w14:solidFill>
          </w14:textFill>
        </w:rPr>
        <w:t>在</w:t>
      </w:r>
      <w:r>
        <w:rPr>
          <w:rFonts w:hint="eastAsia" w:ascii="仿宋_GB2312" w:hAnsi="仿宋_GB2312" w:eastAsia="仿宋_GB2312" w:cs="仿宋_GB2312"/>
          <w:color w:val="000000" w:themeColor="text1"/>
          <w:sz w:val="32"/>
          <w:szCs w:val="32"/>
          <w14:textFill>
            <w14:solidFill>
              <w14:schemeClr w14:val="tx1"/>
            </w14:solidFill>
          </w14:textFill>
        </w:rPr>
        <w:t>第十三届“挑战杯”大学生创业计划竞赛</w:t>
      </w:r>
      <w:r>
        <w:rPr>
          <w:rFonts w:hint="eastAsia" w:ascii="仿宋_GB2312" w:hAnsi="仿宋_GB2312" w:eastAsia="仿宋_GB2312" w:cs="仿宋_GB2312"/>
          <w:color w:val="000000" w:themeColor="text1"/>
          <w:sz w:val="32"/>
          <w:szCs w:val="32"/>
          <w:lang w:eastAsia="zh-CN"/>
          <w14:textFill>
            <w14:solidFill>
              <w14:schemeClr w14:val="tx1"/>
            </w14:solidFill>
          </w14:textFill>
        </w:rPr>
        <w:t>中</w:t>
      </w:r>
      <w:r>
        <w:rPr>
          <w:rFonts w:hint="eastAsia" w:ascii="仿宋_GB2312" w:hAnsi="仿宋_GB2312" w:eastAsia="仿宋_GB2312" w:cs="仿宋_GB2312"/>
          <w:color w:val="000000" w:themeColor="text1"/>
          <w:sz w:val="32"/>
          <w:szCs w:val="32"/>
          <w14:textFill>
            <w14:solidFill>
              <w14:schemeClr w14:val="tx1"/>
            </w14:solidFill>
          </w14:textFill>
        </w:rPr>
        <w:t>，荣获省级铜奖7个。学生</w:t>
      </w:r>
      <w:r>
        <w:rPr>
          <w:rFonts w:hint="eastAsia" w:ascii="仿宋_GB2312" w:hAnsi="仿宋_GB2312" w:eastAsia="仿宋_GB2312" w:cs="仿宋_GB2312"/>
          <w:color w:val="000000" w:themeColor="text1"/>
          <w:sz w:val="32"/>
          <w:szCs w:val="32"/>
          <w:lang w:eastAsia="zh-CN"/>
          <w14:textFill>
            <w14:solidFill>
              <w14:schemeClr w14:val="tx1"/>
            </w14:solidFill>
          </w14:textFill>
        </w:rPr>
        <w:t>参加</w:t>
      </w:r>
      <w:r>
        <w:rPr>
          <w:rFonts w:hint="eastAsia" w:ascii="仿宋_GB2312" w:hAnsi="仿宋_GB2312" w:eastAsia="仿宋_GB2312" w:cs="仿宋_GB2312"/>
          <w:color w:val="000000" w:themeColor="text1"/>
          <w:sz w:val="32"/>
          <w:szCs w:val="32"/>
          <w14:textFill>
            <w14:solidFill>
              <w14:schemeClr w14:val="tx1"/>
            </w14:solidFill>
          </w14:textFill>
        </w:rPr>
        <w:t>国家级Ⅰ类竞赛获奖56项</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省级Ⅰ类竞赛获奖349项。学生发表论文19 篇，其中被EI收录论文4篇，实用新型专利授权7项，软件著作4项。立项大学生创新创业训练计划项目国家级14项，省级35项。我校“青年创客工场”成功获批备案为“省级众创空间”，入驻孵化项目年累计营业额达200余万元。在江西省第十六届运动会上，取得14金12银19铜的好成绩，创下了我校参加省运会比赛历史最好成绩。2022届毕业生平均就业率83.48%，超全省平均就业率。</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履职效果情况：从社会效益、经济效益（如有）、 生态效益（如有）等方面反映部门履职效果的实现情况。</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部门履职过程中没有发生廉政问题。履行职责所产生的社会效益、可持续影响全部达到预期指标，效益较为明显。</w:t>
      </w:r>
    </w:p>
    <w:p>
      <w:pPr>
        <w:pStyle w:val="2"/>
        <w:numPr>
          <w:ilvl w:val="0"/>
          <w:numId w:val="2"/>
        </w:numPr>
        <w:spacing w:before="3"/>
        <w:ind w:firstLine="640" w:firstLineChars="200"/>
      </w:pPr>
      <w:r>
        <w:t>社会满意度及可持续性影响。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eastAsia" w:ascii="仿宋_GB2312" w:hAnsi="仿宋_GB2312" w:eastAsia="仿宋_GB2312" w:cs="仿宋_GB2312"/>
          <w:color w:val="000000" w:themeColor="text1"/>
          <w:kern w:val="0"/>
          <w:sz w:val="32"/>
          <w:szCs w:val="32"/>
          <w:lang w:val="en-US" w:eastAsia="zh-CN" w:bidi="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zh-CN"/>
          <w14:textFill>
            <w14:solidFill>
              <w14:schemeClr w14:val="tx1"/>
            </w14:solidFill>
          </w14:textFill>
        </w:rPr>
        <w:t>　  本部门家长对学校的满意度、家长和学生的满意度&gt;=95%，满意度综合评分95分。</w:t>
      </w:r>
    </w:p>
    <w:p>
      <w:pPr>
        <w:pStyle w:val="3"/>
      </w:pP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Chars="0" w:right="0" w:rightChars="0"/>
        <w:rPr>
          <w:sz w:val="32"/>
          <w:szCs w:val="32"/>
        </w:rPr>
      </w:pPr>
      <w:r>
        <w:rPr>
          <w:rFonts w:hint="eastAsia"/>
          <w:sz w:val="32"/>
          <w:szCs w:val="32"/>
          <w:lang w:val="en-US" w:eastAsia="zh-CN"/>
        </w:rPr>
        <w:t xml:space="preserve"> 三、</w:t>
      </w:r>
      <w:r>
        <w:rPr>
          <w:sz w:val="32"/>
          <w:szCs w:val="32"/>
        </w:rPr>
        <w:t>改进的方向和具体措施。</w:t>
      </w: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t>1.加强绩效管理学习</w:t>
      </w: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t>组织开展预算绩效的学习，聘请专业人员讲解绩效管理工作，增强预算绩效管理工作人员的业务素质，保质保量完成绩效管理工作。</w:t>
      </w: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t>2.加强项目绩效评价</w:t>
      </w: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t>将预算绩效管理考评纳入到日常工作中，形成常规化管理。加强单位项目自评工作，提高报告质量。认真分析研究评价结果所反映的问题，努力查找资金的使用和管理中的薄弱环节，制定改进和提高工作的措施。</w:t>
      </w:r>
    </w:p>
    <w:p>
      <w:pPr>
        <w:pStyle w:val="3"/>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ind w:firstLine="6400" w:firstLineChars="2000"/>
        <w:rPr>
          <w:rFonts w:hint="default"/>
          <w:lang w:val="en-US" w:eastAsia="zh-CN"/>
        </w:rPr>
      </w:pPr>
      <w:r>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t>2023.12.22</w:t>
      </w: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numPr>
          <w:ilvl w:val="0"/>
          <w:numId w:val="0"/>
        </w:numPr>
        <w:spacing w:before="6" w:line="326" w:lineRule="auto"/>
        <w:ind w:right="99" w:rightChars="0" w:firstLine="640" w:firstLineChars="200"/>
        <w:rPr>
          <w:rFonts w:hint="eastAsia" w:ascii="仿宋_GB2312" w:hAnsi="仿宋_GB2312" w:eastAsia="仿宋_GB2312" w:cs="仿宋_GB2312"/>
          <w:color w:val="000000" w:themeColor="text1"/>
          <w:sz w:val="32"/>
          <w:szCs w:val="32"/>
          <w:lang w:val="en-US" w:eastAsia="zh-CN" w:bidi="zh-CN"/>
          <w14:textFill>
            <w14:solidFill>
              <w14:schemeClr w14:val="tx1"/>
            </w14:solidFill>
          </w14:textFill>
        </w:rPr>
      </w:pPr>
    </w:p>
    <w:p>
      <w:pPr>
        <w:pStyle w:val="2"/>
        <w:spacing w:before="30"/>
        <w:ind w:left="540"/>
        <w:rPr>
          <w:rFonts w:hint="eastAsia" w:ascii="黑体" w:eastAsia="黑体"/>
        </w:rPr>
      </w:pPr>
    </w:p>
    <w:p>
      <w:pPr>
        <w:pStyle w:val="2"/>
        <w:spacing w:before="30"/>
        <w:ind w:left="540"/>
        <w:rPr>
          <w:rFonts w:hint="eastAsia" w:ascii="黑体" w:eastAsia="黑体"/>
        </w:rPr>
      </w:pPr>
    </w:p>
    <w:p>
      <w:pPr>
        <w:pStyle w:val="2"/>
        <w:spacing w:before="30"/>
        <w:ind w:left="540"/>
        <w:rPr>
          <w:rFonts w:hint="eastAsia" w:ascii="黑体" w:eastAsia="黑体"/>
        </w:rPr>
      </w:pPr>
    </w:p>
    <w:p>
      <w:pPr>
        <w:pStyle w:val="2"/>
        <w:spacing w:before="30"/>
        <w:ind w:left="540"/>
        <w:rPr>
          <w:rFonts w:hint="eastAsia" w:ascii="黑体" w:eastAsia="黑体"/>
        </w:rPr>
      </w:pPr>
    </w:p>
    <w:p>
      <w:pPr>
        <w:pStyle w:val="2"/>
        <w:spacing w:before="30"/>
        <w:ind w:left="540"/>
        <w:rPr>
          <w:rFonts w:hint="eastAsia" w:ascii="黑体" w:eastAsia="黑体"/>
        </w:rPr>
      </w:pPr>
    </w:p>
    <w:p>
      <w:pPr>
        <w:pStyle w:val="2"/>
        <w:spacing w:before="30"/>
        <w:ind w:left="540"/>
        <w:rPr>
          <w:rFonts w:hint="eastAsia" w:ascii="黑体" w:eastAsia="黑体"/>
        </w:rPr>
      </w:pPr>
    </w:p>
    <w:p>
      <w:pPr>
        <w:pStyle w:val="2"/>
        <w:spacing w:before="30"/>
        <w:ind w:firstLine="640" w:firstLineChars="200"/>
        <w:rPr>
          <w:rFonts w:hint="eastAsia" w:ascii="黑体" w:eastAsia="黑体"/>
        </w:rPr>
      </w:pPr>
    </w:p>
    <w:p>
      <w:pPr>
        <w:pStyle w:val="2"/>
        <w:rPr>
          <w:rFonts w:hint="eastAsia" w:ascii="仿宋" w:eastAsia="仿宋"/>
          <w:spacing w:val="-10"/>
          <w:sz w:val="21"/>
        </w:rPr>
      </w:pPr>
    </w:p>
    <w:sectPr>
      <w:pgSz w:w="11910" w:h="16840"/>
      <w:pgMar w:top="1580" w:right="1540" w:bottom="28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1CB3F"/>
    <w:multiLevelType w:val="singleLevel"/>
    <w:tmpl w:val="DFE1CB3F"/>
    <w:lvl w:ilvl="0" w:tentative="0">
      <w:start w:val="3"/>
      <w:numFmt w:val="chineseCounting"/>
      <w:suff w:val="nothing"/>
      <w:lvlText w:val="（%1）"/>
      <w:lvlJc w:val="left"/>
      <w:rPr>
        <w:rFonts w:hint="eastAsia"/>
      </w:rPr>
    </w:lvl>
  </w:abstractNum>
  <w:abstractNum w:abstractNumId="1">
    <w:nsid w:val="F6278A3F"/>
    <w:multiLevelType w:val="singleLevel"/>
    <w:tmpl w:val="F6278A3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hZjY1NjIwMDI3MWM3N2Q1N2FiODI5MWM1MDExM2MifQ=="/>
  </w:docVars>
  <w:rsids>
    <w:rsidRoot w:val="00000000"/>
    <w:rsid w:val="00FF4A2B"/>
    <w:rsid w:val="027E1E12"/>
    <w:rsid w:val="02C152A1"/>
    <w:rsid w:val="0EF15B0E"/>
    <w:rsid w:val="133348E1"/>
    <w:rsid w:val="13DE28F7"/>
    <w:rsid w:val="2C3F0EDD"/>
    <w:rsid w:val="31714FBD"/>
    <w:rsid w:val="3C056D88"/>
    <w:rsid w:val="534853EA"/>
    <w:rsid w:val="54507AC7"/>
    <w:rsid w:val="55652B76"/>
    <w:rsid w:val="69586B5E"/>
    <w:rsid w:val="6CB110F4"/>
    <w:rsid w:val="72CE7576"/>
    <w:rsid w:val="732B7651"/>
    <w:rsid w:val="77222583"/>
    <w:rsid w:val="773131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4">
    <w:name w:val="heading 1"/>
    <w:basedOn w:val="1"/>
    <w:next w:val="1"/>
    <w:qFormat/>
    <w:uiPriority w:val="1"/>
    <w:pPr>
      <w:ind w:left="97"/>
      <w:jc w:val="center"/>
      <w:outlineLvl w:val="1"/>
    </w:pPr>
    <w:rPr>
      <w:rFonts w:ascii="宋体" w:hAnsi="宋体" w:eastAsia="宋体" w:cs="宋体"/>
      <w:sz w:val="44"/>
      <w:szCs w:val="44"/>
      <w:lang w:val="zh-CN" w:eastAsia="zh-CN" w:bidi="zh-CN"/>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宋体" w:hAnsi="宋体" w:eastAsia="宋体" w:cs="宋体"/>
      <w:sz w:val="32"/>
      <w:szCs w:val="32"/>
      <w:lang w:val="zh-CN" w:eastAsia="zh-CN" w:bidi="zh-CN"/>
    </w:rPr>
  </w:style>
  <w:style w:type="paragraph" w:styleId="3">
    <w:name w:val="toc 5"/>
    <w:basedOn w:val="1"/>
    <w:next w:val="1"/>
    <w:qFormat/>
    <w:uiPriority w:val="0"/>
    <w:pPr>
      <w:wordWrap w:val="0"/>
      <w:ind w:left="1275"/>
    </w:p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rPr>
      <w:lang w:val="zh-CN" w:eastAsia="zh-CN" w:bidi="zh-CN"/>
    </w:rPr>
  </w:style>
  <w:style w:type="paragraph" w:customStyle="1" w:styleId="13">
    <w:name w:val="Table Paragraph"/>
    <w:basedOn w:val="1"/>
    <w:qFormat/>
    <w:uiPriority w:val="1"/>
    <w:rPr>
      <w:rFonts w:ascii="宋体" w:hAnsi="宋体" w:eastAsia="宋体" w:cs="宋体"/>
      <w:lang w:val="zh-CN" w:eastAsia="zh-CN" w:bidi="zh-CN"/>
    </w:rPr>
  </w:style>
  <w:style w:type="character" w:customStyle="1" w:styleId="14">
    <w:name w:val="font61"/>
    <w:basedOn w:val="10"/>
    <w:qFormat/>
    <w:uiPriority w:val="0"/>
    <w:rPr>
      <w:rFonts w:hint="eastAsia" w:ascii="宋体" w:hAnsi="宋体" w:eastAsia="宋体" w:cs="宋体"/>
      <w:color w:val="000000"/>
      <w:sz w:val="18"/>
      <w:szCs w:val="18"/>
      <w:u w:val="none"/>
    </w:rPr>
  </w:style>
  <w:style w:type="character" w:customStyle="1" w:styleId="15">
    <w:name w:val="font31"/>
    <w:basedOn w:val="10"/>
    <w:qFormat/>
    <w:uiPriority w:val="0"/>
    <w:rPr>
      <w:rFonts w:hint="eastAsia" w:ascii="宋体" w:hAnsi="宋体" w:eastAsia="宋体" w:cs="宋体"/>
      <w:color w:val="FFFFFF"/>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8014</Words>
  <Characters>8396</Characters>
  <TotalTime>41</TotalTime>
  <ScaleCrop>false</ScaleCrop>
  <LinksUpToDate>false</LinksUpToDate>
  <CharactersWithSpaces>8538</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2023-03-14T07:08:00Z</dcterms:created>
  <dc:creator>Huawei</dc:creator>
  <cp:lastModifiedBy>Huawei</cp:lastModifiedBy>
  <dcterms:modified xsi:type="dcterms:W3CDTF">2024-01-11T01:55:03Z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2023-03-14T00:00:00Z</vt:filetime>
  </property>
  <property fmtid="{D5CDD505-2E9C-101B-9397-08002B2CF9AE}" pid="3" name="KSOProductBuildVer">
    <vt:lpwstr>2052-11.1.0.10359</vt:lpwstr>
  </property>
  <property fmtid="{D5CDD505-2E9C-101B-9397-08002B2CF9AE}" pid="4" name="ICV">
    <vt:lpwstr>BEB479F16D864C61B2EECEEA869F46EB_13</vt:lpwstr>
  </property>
</Properties>
</file>