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u w:val="none"/>
          <w:lang w:val="en-US" w:eastAsia="zh-CN" w:bidi="ar"/>
        </w:rPr>
        <w:t>新余学院2016-2018年各省本科文、理类录取情况表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583"/>
        <w:gridCol w:w="656"/>
        <w:gridCol w:w="802"/>
        <w:gridCol w:w="790"/>
        <w:gridCol w:w="680"/>
        <w:gridCol w:w="705"/>
        <w:gridCol w:w="691"/>
        <w:gridCol w:w="656"/>
        <w:gridCol w:w="656"/>
        <w:gridCol w:w="715"/>
        <w:gridCol w:w="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华文楷体" w:hAnsi="华文楷体" w:eastAsia="华文楷体" w:cs="华文楷体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最高分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最低分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文理综合试点改革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文理综合试点改革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文理综合试点改革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文理综合试点改革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CDDC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1050" w:afterAutospacing="0" w:line="450" w:lineRule="atLeast"/>
        <w:ind w:left="0" w:right="0"/>
        <w:rPr>
          <w:u w:val="none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u w:val="none"/>
          <w:shd w:val="clear" w:fill="FFFFFF"/>
        </w:rPr>
        <w:t>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1589A"/>
        <w:spacing w:before="30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B064A"/>
    <w:rsid w:val="4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亦阳Sun</cp:lastModifiedBy>
  <dcterms:modified xsi:type="dcterms:W3CDTF">2019-11-27T08:27:23Z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